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2409A" w14:textId="734A0C28" w:rsidR="009862F3" w:rsidRPr="00F542A0" w:rsidRDefault="009862F3" w:rsidP="009862F3">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#114</w:t>
      </w:r>
      <w:r w:rsidRPr="00F542A0">
        <w:rPr>
          <w:rFonts w:eastAsia="SimSun" w:cs="Arial"/>
          <w:sz w:val="24"/>
          <w:szCs w:val="24"/>
        </w:rPr>
        <w:tab/>
      </w:r>
      <w:r w:rsidR="00BA3A00" w:rsidRPr="00BA3A00">
        <w:rPr>
          <w:rFonts w:eastAsia="SimSun" w:cs="Arial"/>
          <w:sz w:val="24"/>
          <w:szCs w:val="24"/>
        </w:rPr>
        <w:t>R4-2500239</w:t>
      </w:r>
    </w:p>
    <w:p w14:paraId="1F65150F" w14:textId="77777777" w:rsidR="009862F3" w:rsidRPr="00F542A0" w:rsidRDefault="009862F3" w:rsidP="009862F3">
      <w:pPr>
        <w:pStyle w:val="Header"/>
        <w:tabs>
          <w:tab w:val="right" w:pos="9781"/>
          <w:tab w:val="right" w:pos="13323"/>
        </w:tabs>
        <w:spacing w:before="60" w:after="60"/>
        <w:outlineLvl w:val="0"/>
        <w:rPr>
          <w:rFonts w:eastAsia="SimSun" w:cs="Arial"/>
          <w:b w:val="0"/>
          <w:sz w:val="24"/>
          <w:szCs w:val="24"/>
        </w:rPr>
      </w:pPr>
      <w:r w:rsidRPr="00F542A0">
        <w:rPr>
          <w:rFonts w:eastAsia="SimSun" w:cs="Arial" w:hint="eastAsia"/>
          <w:sz w:val="24"/>
          <w:szCs w:val="24"/>
        </w:rPr>
        <w:t>Athens</w:t>
      </w:r>
      <w:r w:rsidRPr="00F542A0">
        <w:rPr>
          <w:rFonts w:eastAsia="SimSun" w:cs="Arial"/>
          <w:sz w:val="24"/>
          <w:szCs w:val="24"/>
        </w:rPr>
        <w:t>, GR, 17</w:t>
      </w:r>
      <w:r w:rsidRPr="00F542A0">
        <w:rPr>
          <w:rFonts w:eastAsia="SimSun" w:cs="Arial"/>
          <w:sz w:val="24"/>
          <w:szCs w:val="24"/>
          <w:vertAlign w:val="superscript"/>
        </w:rPr>
        <w:t>th</w:t>
      </w:r>
      <w:r w:rsidRPr="00F542A0">
        <w:rPr>
          <w:rFonts w:eastAsia="SimSun" w:cs="Arial"/>
          <w:sz w:val="24"/>
          <w:szCs w:val="24"/>
        </w:rPr>
        <w:t xml:space="preserve"> – 21</w:t>
      </w:r>
      <w:r w:rsidRPr="00F542A0">
        <w:rPr>
          <w:rFonts w:eastAsia="SimSun" w:cs="Arial"/>
          <w:sz w:val="24"/>
          <w:szCs w:val="24"/>
          <w:vertAlign w:val="superscript"/>
        </w:rPr>
        <w:t>st</w:t>
      </w:r>
      <w:r w:rsidRPr="00F542A0">
        <w:rPr>
          <w:rFonts w:eastAsia="SimSun" w:cs="Arial"/>
          <w:sz w:val="24"/>
          <w:szCs w:val="24"/>
        </w:rPr>
        <w:t xml:space="preserve"> February,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65A6135"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832F6">
        <w:rPr>
          <w:rFonts w:ascii="Arial" w:hAnsi="Arial" w:cs="Arial"/>
          <w:b/>
          <w:sz w:val="22"/>
          <w:szCs w:val="22"/>
        </w:rPr>
        <w:t>7</w:t>
      </w:r>
      <w:r w:rsidR="00D0548B" w:rsidRPr="00D0548B">
        <w:rPr>
          <w:rFonts w:ascii="Arial" w:hAnsi="Arial" w:cs="Arial"/>
          <w:b/>
          <w:sz w:val="22"/>
          <w:szCs w:val="22"/>
        </w:rPr>
        <w:t>.2</w:t>
      </w:r>
      <w:r w:rsidR="009862F3">
        <w:rPr>
          <w:rFonts w:ascii="Arial" w:hAnsi="Arial" w:cs="Arial" w:hint="eastAsia"/>
          <w:b/>
          <w:sz w:val="22"/>
          <w:szCs w:val="22"/>
        </w:rPr>
        <w:t>9</w:t>
      </w:r>
      <w:r w:rsidR="00D0548B" w:rsidRPr="00D0548B">
        <w:rPr>
          <w:rFonts w:ascii="Arial" w:hAnsi="Arial" w:cs="Arial"/>
          <w:b/>
          <w:sz w:val="22"/>
          <w:szCs w:val="22"/>
        </w:rPr>
        <w:t>.4.1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(e)RedCap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8AC0950"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w:t>
      </w:r>
      <w:r w:rsidR="009862F3">
        <w:rPr>
          <w:rFonts w:hint="eastAsia"/>
        </w:rPr>
        <w:t>3</w:t>
      </w:r>
      <w:r>
        <w:t>, and the open issues have been summarized in the t</w:t>
      </w:r>
      <w:r w:rsidRPr="00A34030">
        <w:t xml:space="preserve">opic summary for </w:t>
      </w:r>
      <w:r w:rsidR="009862F3" w:rsidRPr="009862F3">
        <w:rPr>
          <w:rFonts w:cs="Arial"/>
        </w:rPr>
        <w:t>[113][230] NR_NTN_Ph3_Part1</w:t>
      </w:r>
      <w:r w:rsidRPr="00202466">
        <w:t xml:space="preserve">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(e)RedCap</w:t>
      </w:r>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upport of Rel-17 RedCap and Rel-18 eRedCap UEs with NR NTN</w:t>
      </w:r>
    </w:p>
    <w:p w14:paraId="556575D2" w14:textId="77777777" w:rsidR="00C578D3" w:rsidRPr="00C578D3" w:rsidRDefault="00C578D3" w:rsidP="00C578D3">
      <w:pPr>
        <w:rPr>
          <w:b/>
          <w:bCs/>
          <w:u w:val="single"/>
          <w:lang w:eastAsia="ko-KR"/>
        </w:rPr>
      </w:pPr>
      <w:bookmarkStart w:id="3" w:name="OLE_LINK5"/>
      <w:bookmarkStart w:id="4" w:name="OLE_LINK6"/>
      <w:r w:rsidRPr="00C578D3">
        <w:rPr>
          <w:b/>
          <w:bCs/>
          <w:u w:val="single"/>
          <w:lang w:eastAsia="ko-KR"/>
        </w:rPr>
        <w:t xml:space="preserve">Issue </w:t>
      </w:r>
      <w:r w:rsidRPr="00C578D3">
        <w:rPr>
          <w:rFonts w:hint="eastAsia"/>
          <w:b/>
          <w:bCs/>
          <w:u w:val="single"/>
          <w:lang w:eastAsia="ko-KR"/>
        </w:rPr>
        <w:t>1</w:t>
      </w:r>
      <w:r w:rsidRPr="00C578D3">
        <w:rPr>
          <w:b/>
          <w:bCs/>
          <w:u w:val="single"/>
          <w:lang w:eastAsia="ko-KR"/>
        </w:rPr>
        <w:t>-</w:t>
      </w:r>
      <w:r w:rsidRPr="00C578D3">
        <w:rPr>
          <w:rFonts w:hint="eastAsia"/>
          <w:b/>
          <w:bCs/>
          <w:u w:val="single"/>
          <w:lang w:eastAsia="ko-KR"/>
        </w:rPr>
        <w:t>1</w:t>
      </w:r>
      <w:r w:rsidRPr="00C578D3">
        <w:rPr>
          <w:b/>
          <w:bCs/>
          <w:u w:val="single"/>
          <w:lang w:eastAsia="ko-KR"/>
        </w:rPr>
        <w:t xml:space="preserve">-1: </w:t>
      </w:r>
      <w:r w:rsidRPr="00C578D3">
        <w:rPr>
          <w:rFonts w:hint="eastAsia"/>
          <w:b/>
          <w:bCs/>
          <w:u w:val="single"/>
          <w:lang w:eastAsia="ko-KR"/>
        </w:rPr>
        <w:t xml:space="preserve">Whether to define </w:t>
      </w:r>
      <w:r w:rsidRPr="00C578D3">
        <w:rPr>
          <w:b/>
          <w:bCs/>
          <w:u w:val="single"/>
          <w:lang w:eastAsia="ko-KR"/>
        </w:rPr>
        <w:t>measurement requirement</w:t>
      </w:r>
      <w:r w:rsidRPr="00C578D3">
        <w:rPr>
          <w:rFonts w:hint="eastAsia"/>
          <w:b/>
          <w:bCs/>
          <w:u w:val="single"/>
          <w:lang w:eastAsia="ko-KR"/>
        </w:rPr>
        <w:t xml:space="preserve"> </w:t>
      </w:r>
      <w:r w:rsidRPr="00C578D3">
        <w:rPr>
          <w:b/>
          <w:bCs/>
          <w:u w:val="single"/>
          <w:lang w:eastAsia="ko-KR"/>
        </w:rPr>
        <w:t>for inter-RAT (</w:t>
      </w:r>
      <w:r w:rsidRPr="00C578D3">
        <w:rPr>
          <w:rFonts w:hint="eastAsia"/>
          <w:b/>
          <w:bCs/>
          <w:u w:val="single"/>
          <w:lang w:eastAsia="ko-KR"/>
        </w:rPr>
        <w:t xml:space="preserve">NR </w:t>
      </w:r>
      <w:r w:rsidRPr="00C578D3">
        <w:rPr>
          <w:b/>
          <w:bCs/>
          <w:u w:val="single"/>
          <w:lang w:eastAsia="ko-KR"/>
        </w:rPr>
        <w:t>NTN to E-UTRAN TN) in IDLE/INACITVE mode for (e)</w:t>
      </w:r>
      <w:proofErr w:type="spellStart"/>
      <w:r w:rsidRPr="00C578D3">
        <w:rPr>
          <w:b/>
          <w:bCs/>
          <w:u w:val="single"/>
          <w:lang w:eastAsia="ko-KR"/>
        </w:rPr>
        <w:t>RedCap</w:t>
      </w:r>
      <w:proofErr w:type="spellEnd"/>
      <w:r w:rsidRPr="00C578D3">
        <w:rPr>
          <w:b/>
          <w:bCs/>
          <w:u w:val="single"/>
          <w:lang w:eastAsia="ko-KR"/>
        </w:rPr>
        <w:t xml:space="preserve"> UE with FR1-NTN</w:t>
      </w:r>
      <w:r w:rsidRPr="00C578D3">
        <w:rPr>
          <w:rFonts w:hint="eastAsia"/>
          <w:b/>
          <w:bCs/>
          <w:u w:val="single"/>
          <w:lang w:eastAsia="ko-KR"/>
        </w:rPr>
        <w:t>?</w:t>
      </w:r>
    </w:p>
    <w:tbl>
      <w:tblPr>
        <w:tblStyle w:val="TableGrid"/>
        <w:tblW w:w="0" w:type="auto"/>
        <w:tblLook w:val="04A0" w:firstRow="1" w:lastRow="0" w:firstColumn="1" w:lastColumn="0" w:noHBand="0" w:noVBand="1"/>
      </w:tblPr>
      <w:tblGrid>
        <w:gridCol w:w="9962"/>
      </w:tblGrid>
      <w:tr w:rsidR="00E13C55" w14:paraId="7821B6E8" w14:textId="77777777" w:rsidTr="00E13C55">
        <w:tc>
          <w:tcPr>
            <w:tcW w:w="9962" w:type="dxa"/>
          </w:tcPr>
          <w:p w14:paraId="37CA3CC4" w14:textId="77777777" w:rsidR="00C578D3" w:rsidRDefault="00C578D3" w:rsidP="00C578D3">
            <w:pPr>
              <w:rPr>
                <w:b/>
              </w:rPr>
            </w:pPr>
            <w:r>
              <w:rPr>
                <w:b/>
              </w:rPr>
              <w:t>&lt;Way Forward&gt;</w:t>
            </w:r>
            <w:r>
              <w:rPr>
                <w:rFonts w:hint="eastAsia"/>
                <w:b/>
              </w:rPr>
              <w:t>:</w:t>
            </w:r>
          </w:p>
          <w:p w14:paraId="648A0125" w14:textId="77777777" w:rsidR="00C578D3" w:rsidRDefault="00C578D3" w:rsidP="00C578D3">
            <w:pPr>
              <w:pStyle w:val="ListParagraph"/>
              <w:widowControl/>
              <w:numPr>
                <w:ilvl w:val="1"/>
                <w:numId w:val="22"/>
              </w:numPr>
              <w:overflowPunct/>
              <w:autoSpaceDE/>
              <w:autoSpaceDN/>
              <w:adjustRightInd/>
              <w:spacing w:before="0" w:beforeAutospacing="0" w:line="240" w:lineRule="auto"/>
              <w:ind w:left="1655" w:firstLineChars="0" w:hanging="357"/>
              <w:textAlignment w:val="auto"/>
            </w:pPr>
            <w:r>
              <w:rPr>
                <w:sz w:val="20"/>
                <w:szCs w:val="20"/>
              </w:rPr>
              <w:t>Proposal 1 (</w:t>
            </w:r>
            <w:r>
              <w:rPr>
                <w:rFonts w:hint="eastAsia"/>
                <w:sz w:val="20"/>
                <w:szCs w:val="20"/>
              </w:rPr>
              <w:t xml:space="preserve">CATT, Xiaomi, LG, Samsung CMCC, Apple, </w:t>
            </w:r>
            <w:r>
              <w:rPr>
                <w:sz w:val="20"/>
                <w:szCs w:val="20"/>
              </w:rPr>
              <w:t>Ericsson</w:t>
            </w:r>
            <w:r>
              <w:rPr>
                <w:rFonts w:hint="eastAsia"/>
                <w:sz w:val="20"/>
                <w:szCs w:val="20"/>
              </w:rPr>
              <w:t>, HW, ZTE</w:t>
            </w:r>
            <w:r>
              <w:rPr>
                <w:sz w:val="20"/>
                <w:szCs w:val="20"/>
              </w:rPr>
              <w:t xml:space="preserve">): </w:t>
            </w:r>
          </w:p>
          <w:p w14:paraId="1D5ACF65" w14:textId="77777777" w:rsidR="00C578D3" w:rsidRDefault="00C578D3" w:rsidP="00C578D3">
            <w:pPr>
              <w:pStyle w:val="ListParagraph"/>
              <w:widowControl/>
              <w:numPr>
                <w:ilvl w:val="2"/>
                <w:numId w:val="22"/>
              </w:numPr>
              <w:overflowPunct/>
              <w:autoSpaceDE/>
              <w:autoSpaceDN/>
              <w:adjustRightInd/>
              <w:spacing w:before="0" w:beforeAutospacing="0" w:after="120" w:line="240" w:lineRule="auto"/>
              <w:ind w:firstLineChars="0"/>
              <w:textAlignment w:val="auto"/>
            </w:pPr>
            <w:r>
              <w:rPr>
                <w:rFonts w:hint="eastAsia"/>
                <w:sz w:val="20"/>
                <w:szCs w:val="20"/>
              </w:rPr>
              <w:t>RAN4 to define measurement requirements for inter-RAT (NTN to E-UTRAN TN) measurement in IDLE/INACITVE mode for (e)</w:t>
            </w:r>
            <w:proofErr w:type="spellStart"/>
            <w:r>
              <w:rPr>
                <w:rFonts w:hint="eastAsia"/>
                <w:sz w:val="20"/>
                <w:szCs w:val="20"/>
              </w:rPr>
              <w:t>RedCap</w:t>
            </w:r>
            <w:proofErr w:type="spellEnd"/>
            <w:r>
              <w:rPr>
                <w:rFonts w:hint="eastAsia"/>
                <w:sz w:val="20"/>
                <w:szCs w:val="20"/>
              </w:rPr>
              <w:t xml:space="preserve"> UE with FR1-NTN.</w:t>
            </w:r>
          </w:p>
          <w:p w14:paraId="3FD31F32" w14:textId="77777777" w:rsidR="00C578D3" w:rsidRDefault="00C578D3" w:rsidP="00C578D3">
            <w:pPr>
              <w:pStyle w:val="ListParagraph"/>
              <w:widowControl/>
              <w:numPr>
                <w:ilvl w:val="1"/>
                <w:numId w:val="22"/>
              </w:numPr>
              <w:overflowPunct/>
              <w:autoSpaceDE/>
              <w:autoSpaceDN/>
              <w:adjustRightInd/>
              <w:spacing w:before="0" w:beforeAutospacing="0" w:after="120" w:line="240" w:lineRule="auto"/>
              <w:ind w:firstLineChars="0"/>
              <w:contextualSpacing/>
              <w:textAlignment w:val="auto"/>
            </w:pPr>
            <w:r>
              <w:rPr>
                <w:sz w:val="20"/>
                <w:szCs w:val="20"/>
              </w:rPr>
              <w:t xml:space="preserve">Proposal </w:t>
            </w:r>
            <w:r>
              <w:rPr>
                <w:rFonts w:hint="eastAsia"/>
                <w:sz w:val="20"/>
                <w:szCs w:val="20"/>
              </w:rPr>
              <w:t>2</w:t>
            </w:r>
            <w:r>
              <w:rPr>
                <w:sz w:val="20"/>
                <w:szCs w:val="20"/>
              </w:rPr>
              <w:t xml:space="preserve"> (</w:t>
            </w:r>
            <w:r>
              <w:rPr>
                <w:rFonts w:hint="eastAsia"/>
                <w:sz w:val="20"/>
                <w:szCs w:val="20"/>
              </w:rPr>
              <w:t>vivo</w:t>
            </w:r>
            <w:r>
              <w:rPr>
                <w:sz w:val="20"/>
                <w:szCs w:val="20"/>
              </w:rPr>
              <w:t xml:space="preserve">): </w:t>
            </w:r>
          </w:p>
          <w:p w14:paraId="395E77AB" w14:textId="7B41ED8B" w:rsidR="00E13C55" w:rsidRPr="00C578D3" w:rsidRDefault="00C578D3" w:rsidP="00C578D3">
            <w:pPr>
              <w:pStyle w:val="ListParagraph"/>
              <w:widowControl/>
              <w:numPr>
                <w:ilvl w:val="2"/>
                <w:numId w:val="22"/>
              </w:numPr>
              <w:overflowPunct/>
              <w:autoSpaceDE/>
              <w:autoSpaceDN/>
              <w:adjustRightInd/>
              <w:spacing w:before="0" w:beforeAutospacing="0" w:after="120" w:line="240" w:lineRule="auto"/>
              <w:ind w:firstLineChars="0"/>
              <w:textAlignment w:val="auto"/>
            </w:pPr>
            <w:r>
              <w:rPr>
                <w:sz w:val="20"/>
                <w:szCs w:val="20"/>
              </w:rPr>
              <w:t>RAN4 not to define the measurement requirements for inter-RAT (NTN to E-UTRA TN) measurement.</w:t>
            </w:r>
          </w:p>
        </w:tc>
      </w:tr>
    </w:tbl>
    <w:p w14:paraId="0769F856" w14:textId="14F9A051" w:rsidR="00E13C55" w:rsidRDefault="00E13C55" w:rsidP="00E13C55">
      <w:pPr>
        <w:jc w:val="both"/>
      </w:pPr>
      <w:r w:rsidRPr="00E13C55">
        <w:t>In Rel-17 NTN</w:t>
      </w:r>
      <w:r>
        <w:t>, RAN4 has cell reselection requirement for NTN to LTE TN (</w:t>
      </w:r>
      <w:r w:rsidRPr="00E13C55">
        <w:t>inter-RAT E-UTRAN cells</w:t>
      </w:r>
      <w:r w:rsidRPr="00E13C55">
        <w:rPr>
          <w:rFonts w:hint="eastAsia"/>
        </w:rPr>
        <w:t xml:space="preserve"> with TN carrier</w:t>
      </w:r>
      <w:r>
        <w:t xml:space="preserve">). That </w:t>
      </w:r>
      <w:proofErr w:type="gramStart"/>
      <w:r>
        <w:t>means:</w:t>
      </w:r>
      <w:proofErr w:type="gramEnd"/>
      <w:r>
        <w:t xml:space="preserve"> from the network deployment perspective, it’s a feasible scenario to consider</w:t>
      </w:r>
      <w:r w:rsidR="00C578D3">
        <w:rPr>
          <w:rFonts w:hint="eastAsia"/>
        </w:rPr>
        <w:t xml:space="preserve"> for</w:t>
      </w:r>
      <w:r w:rsidR="00C578D3">
        <w:t xml:space="preserve"> mobility</w:t>
      </w:r>
      <w:r>
        <w:rPr>
          <w:rFonts w:hint="eastAsia"/>
        </w:rPr>
        <w:t>.</w:t>
      </w:r>
      <w:r>
        <w:t xml:space="preserve"> For RedCap requirement in R17, RAN4 also has requirement for m</w:t>
      </w:r>
      <w:r w:rsidRPr="00E13C55">
        <w:t>easurements of inter-RAT E-UTRAN cells for RedCap UE</w:t>
      </w:r>
      <w:r>
        <w:t>. Thus, we think it’s necessary to</w:t>
      </w:r>
      <w:r w:rsidR="009B4FE8">
        <w:t xml:space="preserve"> have </w:t>
      </w:r>
      <w:r w:rsidR="009B4FE8">
        <w:rPr>
          <w:rFonts w:hint="eastAsia"/>
          <w:bCs/>
        </w:rPr>
        <w:t>t</w:t>
      </w:r>
      <w:r w:rsidR="009B4FE8" w:rsidRPr="005458F4">
        <w:rPr>
          <w:bCs/>
        </w:rPr>
        <w:t>he measurement requirements for inter-RAT (NTN to E-UTRA TN) measurement</w:t>
      </w:r>
      <w:r w:rsidR="009B4FE8">
        <w:rPr>
          <w:bCs/>
        </w:rPr>
        <w:t xml:space="preserve"> for (e)RedCap UE, and </w:t>
      </w:r>
      <w:r w:rsidR="009B4FE8">
        <w:t>t</w:t>
      </w:r>
      <w:r w:rsidR="009B4FE8" w:rsidRPr="00643C5E">
        <w:t xml:space="preserve">he existing cell reselection requirements in </w:t>
      </w:r>
      <w:r w:rsidR="009B4FE8" w:rsidRPr="005458F4">
        <w:t>RRC_IDLE/RRC_INACTIVE state</w:t>
      </w:r>
      <w:r w:rsidR="009B4FE8" w:rsidRPr="00643C5E">
        <w:t xml:space="preserve"> defined for Rel-17 and Rel-18 (e)NTN can be the baseline for </w:t>
      </w:r>
      <w:r w:rsidR="009B4FE8" w:rsidRPr="005458F4">
        <w:t>(e)RedCap 2Rx UE with FR1-NTN bands</w:t>
      </w:r>
      <w:r w:rsidR="009B4FE8">
        <w:t>.</w:t>
      </w:r>
    </w:p>
    <w:p w14:paraId="5DAD9634" w14:textId="3C098FCC" w:rsidR="00F5672F" w:rsidRDefault="009B4FE8" w:rsidP="009B4FE8">
      <w:pPr>
        <w:jc w:val="both"/>
        <w:rPr>
          <w:b/>
          <w:bCs/>
          <w:i/>
          <w:iCs/>
        </w:rPr>
      </w:pPr>
      <w:r w:rsidRPr="004613F9">
        <w:rPr>
          <w:b/>
          <w:bCs/>
          <w:i/>
          <w:iCs/>
          <w:lang w:val="en-GB"/>
        </w:rPr>
        <w:t xml:space="preserve">Proposal </w:t>
      </w:r>
      <w:r>
        <w:rPr>
          <w:b/>
          <w:bCs/>
          <w:i/>
          <w:iCs/>
          <w:lang w:val="en-GB"/>
        </w:rPr>
        <w:t>1</w:t>
      </w:r>
      <w:r w:rsidRPr="004613F9">
        <w:rPr>
          <w:b/>
          <w:bCs/>
          <w:i/>
          <w:iCs/>
          <w:lang w:val="en-GB"/>
        </w:rPr>
        <w:t xml:space="preserve">: </w:t>
      </w:r>
      <w:r>
        <w:rPr>
          <w:b/>
          <w:bCs/>
          <w:i/>
          <w:iCs/>
          <w:lang w:val="en-GB"/>
        </w:rPr>
        <w:t xml:space="preserve">RAN4 to define </w:t>
      </w:r>
      <w:r w:rsidRPr="009B4FE8">
        <w:rPr>
          <w:b/>
          <w:bCs/>
          <w:i/>
          <w:iCs/>
          <w:lang w:val="en-GB"/>
        </w:rPr>
        <w:t>measurement requirements for inter-RAT (NTN to E-UTRA</w:t>
      </w:r>
      <w:r>
        <w:rPr>
          <w:b/>
          <w:bCs/>
          <w:i/>
          <w:iCs/>
          <w:lang w:val="en-GB"/>
        </w:rPr>
        <w:t>N</w:t>
      </w:r>
      <w:r w:rsidRPr="009B4FE8">
        <w:rPr>
          <w:b/>
          <w:bCs/>
          <w:i/>
          <w:iCs/>
          <w:lang w:val="en-GB"/>
        </w:rPr>
        <w:t xml:space="preserve"> TN) measurement for (e)RedCap UE</w:t>
      </w:r>
      <w:r>
        <w:rPr>
          <w:b/>
          <w:bCs/>
          <w:i/>
          <w:iCs/>
          <w:lang w:val="en-GB"/>
        </w:rPr>
        <w:t xml:space="preserve">. The existing </w:t>
      </w:r>
      <w:r w:rsidRPr="009B4FE8">
        <w:rPr>
          <w:b/>
          <w:bCs/>
          <w:i/>
          <w:iCs/>
          <w:lang w:val="en-GB"/>
        </w:rPr>
        <w:t xml:space="preserve">requirements for </w:t>
      </w:r>
      <w:r>
        <w:rPr>
          <w:b/>
          <w:bCs/>
          <w:i/>
          <w:iCs/>
        </w:rPr>
        <w:t>m</w:t>
      </w:r>
      <w:r w:rsidRPr="009B4FE8">
        <w:rPr>
          <w:b/>
          <w:bCs/>
          <w:i/>
          <w:iCs/>
        </w:rPr>
        <w:t>easurements of inter-RAT E-UTRAN cells</w:t>
      </w:r>
      <w:r w:rsidRPr="009B4FE8">
        <w:rPr>
          <w:rFonts w:hint="eastAsia"/>
          <w:b/>
          <w:bCs/>
          <w:i/>
          <w:iCs/>
        </w:rPr>
        <w:t xml:space="preserve"> with TN carrier</w:t>
      </w:r>
      <w:r>
        <w:rPr>
          <w:b/>
          <w:bCs/>
          <w:i/>
          <w:iCs/>
        </w:rPr>
        <w:t xml:space="preserve"> can be used as baseline.</w:t>
      </w:r>
    </w:p>
    <w:p w14:paraId="4C80A3DC" w14:textId="77777777" w:rsidR="00C578D3" w:rsidRPr="00C578D3" w:rsidRDefault="00C578D3" w:rsidP="00C578D3">
      <w:pPr>
        <w:rPr>
          <w:b/>
          <w:bCs/>
          <w:u w:val="single"/>
          <w:lang w:eastAsia="ko-KR"/>
        </w:rPr>
      </w:pPr>
      <w:r w:rsidRPr="00C578D3">
        <w:rPr>
          <w:b/>
          <w:bCs/>
          <w:u w:val="single"/>
          <w:lang w:eastAsia="ko-KR"/>
        </w:rPr>
        <w:lastRenderedPageBreak/>
        <w:t xml:space="preserve">Issue </w:t>
      </w:r>
      <w:r w:rsidRPr="00C578D3">
        <w:rPr>
          <w:rFonts w:hint="eastAsia"/>
          <w:b/>
          <w:bCs/>
          <w:u w:val="single"/>
          <w:lang w:eastAsia="ko-KR"/>
        </w:rPr>
        <w:t>1</w:t>
      </w:r>
      <w:r w:rsidRPr="00C578D3">
        <w:rPr>
          <w:b/>
          <w:bCs/>
          <w:u w:val="single"/>
          <w:lang w:eastAsia="ko-KR"/>
        </w:rPr>
        <w:t>-</w:t>
      </w:r>
      <w:r w:rsidRPr="00C578D3">
        <w:rPr>
          <w:rFonts w:hint="eastAsia"/>
          <w:b/>
          <w:bCs/>
          <w:u w:val="single"/>
          <w:lang w:eastAsia="ko-KR"/>
        </w:rPr>
        <w:t>2</w:t>
      </w:r>
      <w:r w:rsidRPr="00C578D3">
        <w:rPr>
          <w:b/>
          <w:bCs/>
          <w:u w:val="single"/>
          <w:lang w:eastAsia="ko-KR"/>
        </w:rPr>
        <w:t>-</w:t>
      </w:r>
      <w:r w:rsidRPr="00C578D3">
        <w:rPr>
          <w:rFonts w:hint="eastAsia"/>
          <w:b/>
          <w:bCs/>
          <w:u w:val="single"/>
          <w:lang w:eastAsia="ko-KR"/>
        </w:rPr>
        <w:t>2</w:t>
      </w:r>
      <w:r w:rsidRPr="00C578D3">
        <w:rPr>
          <w:b/>
          <w:bCs/>
          <w:u w:val="single"/>
          <w:lang w:eastAsia="ko-KR"/>
        </w:rPr>
        <w:t xml:space="preserve">: </w:t>
      </w:r>
      <w:proofErr w:type="spellStart"/>
      <w:r w:rsidRPr="00C578D3">
        <w:rPr>
          <w:b/>
          <w:bCs/>
          <w:u w:val="single"/>
          <w:lang w:eastAsia="ko-KR"/>
        </w:rPr>
        <w:t>eDRX</w:t>
      </w:r>
      <w:proofErr w:type="spellEnd"/>
      <w:r w:rsidRPr="00C578D3">
        <w:rPr>
          <w:rFonts w:hint="eastAsia"/>
          <w:b/>
          <w:bCs/>
          <w:u w:val="single"/>
          <w:lang w:eastAsia="ko-KR"/>
        </w:rPr>
        <w:t xml:space="preserve"> </w:t>
      </w:r>
      <w:r w:rsidRPr="00C578D3">
        <w:rPr>
          <w:b/>
          <w:bCs/>
          <w:u w:val="single"/>
          <w:lang w:eastAsia="ko-KR"/>
        </w:rPr>
        <w:t>configuration</w:t>
      </w:r>
    </w:p>
    <w:tbl>
      <w:tblPr>
        <w:tblStyle w:val="TableGrid"/>
        <w:tblW w:w="0" w:type="auto"/>
        <w:tblLook w:val="04A0" w:firstRow="1" w:lastRow="0" w:firstColumn="1" w:lastColumn="0" w:noHBand="0" w:noVBand="1"/>
      </w:tblPr>
      <w:tblGrid>
        <w:gridCol w:w="9962"/>
      </w:tblGrid>
      <w:tr w:rsidR="00DD5C9C" w14:paraId="0823610E" w14:textId="77777777" w:rsidTr="00DD5C9C">
        <w:tc>
          <w:tcPr>
            <w:tcW w:w="9962" w:type="dxa"/>
          </w:tcPr>
          <w:p w14:paraId="0EEFE204" w14:textId="77777777" w:rsidR="00C578D3" w:rsidRDefault="00C578D3" w:rsidP="00C578D3">
            <w:pPr>
              <w:snapToGrid w:val="0"/>
              <w:spacing w:after="120"/>
              <w:rPr>
                <w:highlight w:val="green"/>
              </w:rPr>
            </w:pPr>
            <w:r>
              <w:rPr>
                <w:b/>
                <w:highlight w:val="green"/>
              </w:rPr>
              <w:t>&lt; Agreement &gt;</w:t>
            </w:r>
            <w:r>
              <w:rPr>
                <w:rFonts w:hint="eastAsia"/>
                <w:b/>
                <w:highlight w:val="green"/>
              </w:rPr>
              <w:t>:</w:t>
            </w:r>
          </w:p>
          <w:p w14:paraId="23BE7F82" w14:textId="77777777" w:rsidR="00C578D3" w:rsidRDefault="00C578D3" w:rsidP="00C578D3">
            <w:pPr>
              <w:pStyle w:val="ListParagraph"/>
              <w:widowControl/>
              <w:numPr>
                <w:ilvl w:val="0"/>
                <w:numId w:val="22"/>
              </w:numPr>
              <w:overflowPunct/>
              <w:autoSpaceDE/>
              <w:autoSpaceDN/>
              <w:adjustRightInd/>
              <w:spacing w:before="0" w:beforeAutospacing="0" w:after="120" w:line="240" w:lineRule="auto"/>
              <w:ind w:firstLineChars="0"/>
              <w:textAlignment w:val="auto"/>
            </w:pPr>
            <w:r>
              <w:t>For earth-moving LEO scenario:</w:t>
            </w:r>
          </w:p>
          <w:p w14:paraId="5E2E5FB6" w14:textId="77777777" w:rsidR="00C578D3" w:rsidRDefault="00C578D3" w:rsidP="00C578D3">
            <w:pPr>
              <w:pStyle w:val="ListParagraph"/>
              <w:widowControl/>
              <w:numPr>
                <w:ilvl w:val="1"/>
                <w:numId w:val="22"/>
              </w:numPr>
              <w:overflowPunct/>
              <w:autoSpaceDE/>
              <w:autoSpaceDN/>
              <w:adjustRightInd/>
              <w:spacing w:before="0" w:beforeAutospacing="0" w:after="120" w:line="240" w:lineRule="auto"/>
              <w:ind w:firstLineChars="0"/>
              <w:textAlignment w:val="auto"/>
            </w:pPr>
            <w:r>
              <w:t xml:space="preserve">All </w:t>
            </w:r>
            <w:proofErr w:type="spellStart"/>
            <w:r>
              <w:t>eDRX</w:t>
            </w:r>
            <w:proofErr w:type="spellEnd"/>
            <w:r>
              <w:t xml:space="preserve"> cycle cannot be applied for </w:t>
            </w:r>
            <w:proofErr w:type="spellStart"/>
            <w:r>
              <w:t>RedCap</w:t>
            </w:r>
            <w:proofErr w:type="spellEnd"/>
            <w:r>
              <w:t>/</w:t>
            </w:r>
            <w:proofErr w:type="spellStart"/>
            <w:r>
              <w:t>eRedCap</w:t>
            </w:r>
            <w:proofErr w:type="spellEnd"/>
            <w:r>
              <w:t xml:space="preserve"> UEs in NTN and not to define requirements for </w:t>
            </w:r>
            <w:proofErr w:type="spellStart"/>
            <w:r>
              <w:t>eDRX</w:t>
            </w:r>
            <w:proofErr w:type="spellEnd"/>
            <w:r>
              <w:t xml:space="preserve"> in earth-moving beam LEO scenario.</w:t>
            </w:r>
          </w:p>
          <w:p w14:paraId="341ABFE1" w14:textId="77777777" w:rsidR="00C578D3" w:rsidRDefault="00C578D3" w:rsidP="00C578D3">
            <w:pPr>
              <w:pStyle w:val="ListParagraph"/>
              <w:widowControl/>
              <w:numPr>
                <w:ilvl w:val="0"/>
                <w:numId w:val="22"/>
              </w:numPr>
              <w:overflowPunct/>
              <w:autoSpaceDE/>
              <w:autoSpaceDN/>
              <w:adjustRightInd/>
              <w:spacing w:before="0" w:beforeAutospacing="0" w:after="120" w:line="240" w:lineRule="auto"/>
              <w:ind w:firstLineChars="0"/>
              <w:textAlignment w:val="auto"/>
            </w:pPr>
            <w:r>
              <w:t>For quasi-earth fixed LEO scenario:</w:t>
            </w:r>
          </w:p>
          <w:p w14:paraId="013FF0C3" w14:textId="77777777" w:rsidR="00C578D3" w:rsidRDefault="00C578D3" w:rsidP="00C578D3">
            <w:pPr>
              <w:pStyle w:val="ListParagraph"/>
              <w:widowControl/>
              <w:numPr>
                <w:ilvl w:val="1"/>
                <w:numId w:val="22"/>
              </w:numPr>
              <w:overflowPunct/>
              <w:autoSpaceDE/>
              <w:autoSpaceDN/>
              <w:adjustRightInd/>
              <w:spacing w:before="0" w:beforeAutospacing="0" w:after="120" w:line="240" w:lineRule="auto"/>
              <w:ind w:firstLineChars="0"/>
              <w:textAlignment w:val="auto"/>
            </w:pPr>
            <w:r>
              <w:t xml:space="preserve">Define </w:t>
            </w:r>
            <w:proofErr w:type="spellStart"/>
            <w:r>
              <w:t>eDRX</w:t>
            </w:r>
            <w:proofErr w:type="spellEnd"/>
            <w:r>
              <w:t xml:space="preserve"> related requirements in </w:t>
            </w:r>
            <w:proofErr w:type="spellStart"/>
            <w:r>
              <w:t>RRC_Idle</w:t>
            </w:r>
            <w:proofErr w:type="spellEnd"/>
            <w:r>
              <w:t xml:space="preserve"> / </w:t>
            </w:r>
            <w:proofErr w:type="spellStart"/>
            <w:r>
              <w:t>RRC_Inactive</w:t>
            </w:r>
            <w:proofErr w:type="spellEnd"/>
            <w:r>
              <w:t xml:space="preserve"> mode for (e)</w:t>
            </w:r>
            <w:proofErr w:type="spellStart"/>
            <w:r>
              <w:t>RedCap</w:t>
            </w:r>
            <w:proofErr w:type="spellEnd"/>
            <w:r>
              <w:t xml:space="preserve"> UE with FR1-NTN.</w:t>
            </w:r>
          </w:p>
          <w:p w14:paraId="0D040A09" w14:textId="77777777" w:rsidR="00C578D3" w:rsidRDefault="00C578D3" w:rsidP="00C578D3">
            <w:pPr>
              <w:pStyle w:val="ListParagraph"/>
              <w:widowControl/>
              <w:numPr>
                <w:ilvl w:val="2"/>
                <w:numId w:val="22"/>
              </w:numPr>
              <w:overflowPunct/>
              <w:autoSpaceDE/>
              <w:autoSpaceDN/>
              <w:adjustRightInd/>
              <w:snapToGrid w:val="0"/>
              <w:spacing w:before="0" w:beforeAutospacing="0" w:line="240" w:lineRule="auto"/>
              <w:ind w:firstLineChars="0" w:hanging="357"/>
              <w:contextualSpacing/>
              <w:textAlignment w:val="auto"/>
            </w:pPr>
            <w:r>
              <w:t xml:space="preserve">Requirements are applicable for 2.56s and 5.12s </w:t>
            </w:r>
            <w:proofErr w:type="spellStart"/>
            <w:r>
              <w:t>eDRX</w:t>
            </w:r>
            <w:proofErr w:type="spellEnd"/>
            <w:r>
              <w:t xml:space="preserve"> cycle</w:t>
            </w:r>
          </w:p>
          <w:p w14:paraId="68866D7E" w14:textId="68D48957" w:rsidR="00DD5C9C" w:rsidRPr="00F5672F" w:rsidRDefault="00C578D3" w:rsidP="00C578D3">
            <w:pPr>
              <w:pStyle w:val="ListParagraph"/>
              <w:widowControl/>
              <w:numPr>
                <w:ilvl w:val="2"/>
                <w:numId w:val="22"/>
              </w:numPr>
              <w:overflowPunct/>
              <w:autoSpaceDE/>
              <w:autoSpaceDN/>
              <w:adjustRightInd/>
              <w:snapToGrid w:val="0"/>
              <w:spacing w:before="0" w:beforeAutospacing="0" w:line="240" w:lineRule="auto"/>
              <w:ind w:firstLineChars="0" w:hanging="357"/>
              <w:contextualSpacing/>
              <w:textAlignment w:val="auto"/>
            </w:pPr>
            <w:r>
              <w:t xml:space="preserve">FFS for 10.24s </w:t>
            </w:r>
            <w:proofErr w:type="spellStart"/>
            <w:r>
              <w:t>eDRX</w:t>
            </w:r>
            <w:proofErr w:type="spellEnd"/>
            <w:r>
              <w:t xml:space="preserve"> cycle and larger than 10.24s </w:t>
            </w:r>
            <w:proofErr w:type="spellStart"/>
            <w:r>
              <w:t>eDRX</w:t>
            </w:r>
            <w:proofErr w:type="spellEnd"/>
            <w:r>
              <w:t xml:space="preserve"> cycle</w:t>
            </w:r>
          </w:p>
        </w:tc>
      </w:tr>
    </w:tbl>
    <w:bookmarkEnd w:id="3"/>
    <w:bookmarkEnd w:id="4"/>
    <w:p w14:paraId="26946044" w14:textId="13D60D69" w:rsidR="00C07E73" w:rsidRPr="00C07E73" w:rsidRDefault="00430F35" w:rsidP="00C07E73">
      <w:pPr>
        <w:jc w:val="both"/>
      </w:pPr>
      <w:r>
        <w:rPr>
          <w:lang w:val="en-GB"/>
        </w:rPr>
        <w:t xml:space="preserve">RAN4 needs more discussion on whether new requirement shall be introduced for RRM relaxation and eDRX. For example, </w:t>
      </w:r>
      <w:r w:rsidR="000A52A0">
        <w:rPr>
          <w:lang w:val="en-GB"/>
        </w:rPr>
        <w:t>i</w:t>
      </w:r>
      <w:r w:rsidR="000A52A0" w:rsidRPr="000A52A0">
        <w:rPr>
          <w:lang w:val="en-GB"/>
        </w:rPr>
        <w:t>n legacy NTN requirement, the 2.56</w:t>
      </w:r>
      <w:r w:rsidR="000A52A0">
        <w:rPr>
          <w:lang w:val="en-GB"/>
        </w:rPr>
        <w:t>s</w:t>
      </w:r>
      <w:r w:rsidR="000A52A0" w:rsidRPr="000A52A0">
        <w:rPr>
          <w:lang w:val="en-GB"/>
        </w:rPr>
        <w:t xml:space="preserve"> DRX is not assumed to be well utilized in the scenario where earth-moving LEO is deployed as the target satellite or serving satellite for measurement</w:t>
      </w:r>
      <w:r w:rsidR="000A52A0">
        <w:rPr>
          <w:lang w:val="en-GB"/>
        </w:rPr>
        <w:t xml:space="preserve">. </w:t>
      </w:r>
      <w:r w:rsidR="000A52A0" w:rsidRPr="000A52A0">
        <w:rPr>
          <w:lang w:val="en-GB"/>
        </w:rPr>
        <w:t>The main reason is</w:t>
      </w:r>
      <w:r w:rsidR="000A52A0">
        <w:rPr>
          <w:lang w:val="en-GB"/>
        </w:rPr>
        <w:t>:</w:t>
      </w:r>
      <w:r w:rsidR="000A52A0" w:rsidRPr="000A52A0">
        <w:rPr>
          <w:lang w:val="en-GB"/>
        </w:rPr>
        <w:t xml:space="preserve"> if earth-moving LEO is used and the footprint on earth is not that large, e.g., couple </w:t>
      </w:r>
      <w:proofErr w:type="spellStart"/>
      <w:r w:rsidR="000A52A0" w:rsidRPr="000A52A0">
        <w:rPr>
          <w:lang w:val="en-GB"/>
        </w:rPr>
        <w:t>kilometers</w:t>
      </w:r>
      <w:proofErr w:type="spellEnd"/>
      <w:r w:rsidR="000A52A0" w:rsidRPr="000A52A0">
        <w:rPr>
          <w:lang w:val="en-GB"/>
        </w:rPr>
        <w:t xml:space="preserve">, then the longer measurement </w:t>
      </w:r>
      <w:proofErr w:type="gramStart"/>
      <w:r w:rsidR="000A52A0" w:rsidRPr="000A52A0">
        <w:rPr>
          <w:lang w:val="en-GB"/>
        </w:rPr>
        <w:t>delay</w:t>
      </w:r>
      <w:proofErr w:type="gramEnd"/>
      <w:r w:rsidR="000A52A0" w:rsidRPr="000A52A0">
        <w:rPr>
          <w:lang w:val="en-GB"/>
        </w:rPr>
        <w:t xml:space="preserve"> due to using 2.56s will fail the mobility</w:t>
      </w:r>
      <w:r w:rsidR="000A52A0">
        <w:rPr>
          <w:lang w:val="en-GB"/>
        </w:rPr>
        <w:t xml:space="preserve">. </w:t>
      </w:r>
      <w:r w:rsidR="008F31B5">
        <w:rPr>
          <w:lang w:val="en-GB"/>
        </w:rPr>
        <w:t xml:space="preserve">The remaining issue is whether to apply the </w:t>
      </w:r>
      <w:proofErr w:type="spellStart"/>
      <w:r w:rsidR="008F31B5">
        <w:rPr>
          <w:szCs w:val="21"/>
        </w:rPr>
        <w:t>eDRX</w:t>
      </w:r>
      <w:proofErr w:type="spellEnd"/>
      <w:r w:rsidR="008F31B5">
        <w:rPr>
          <w:szCs w:val="21"/>
        </w:rPr>
        <w:t xml:space="preserve"> related requirements in </w:t>
      </w:r>
      <w:proofErr w:type="spellStart"/>
      <w:r w:rsidR="008F31B5">
        <w:rPr>
          <w:szCs w:val="21"/>
        </w:rPr>
        <w:t>RRC_Idle</w:t>
      </w:r>
      <w:proofErr w:type="spellEnd"/>
      <w:r w:rsidR="008F31B5">
        <w:rPr>
          <w:szCs w:val="21"/>
        </w:rPr>
        <w:t xml:space="preserve"> / </w:t>
      </w:r>
      <w:proofErr w:type="spellStart"/>
      <w:r w:rsidR="008F31B5">
        <w:rPr>
          <w:szCs w:val="21"/>
        </w:rPr>
        <w:t>RRC_Inactive</w:t>
      </w:r>
      <w:proofErr w:type="spellEnd"/>
      <w:r w:rsidR="008F31B5">
        <w:rPr>
          <w:szCs w:val="21"/>
        </w:rPr>
        <w:t xml:space="preserve"> mode for (e)</w:t>
      </w:r>
      <w:proofErr w:type="spellStart"/>
      <w:r w:rsidR="008F31B5">
        <w:rPr>
          <w:szCs w:val="21"/>
        </w:rPr>
        <w:t>RedCap</w:t>
      </w:r>
      <w:proofErr w:type="spellEnd"/>
      <w:r w:rsidR="008F31B5">
        <w:rPr>
          <w:szCs w:val="21"/>
        </w:rPr>
        <w:t xml:space="preserve"> UE with FR1-NTN </w:t>
      </w:r>
      <w:r w:rsidR="008F31B5">
        <w:rPr>
          <w:lang w:val="en-GB"/>
        </w:rPr>
        <w:t xml:space="preserve">if the </w:t>
      </w:r>
      <w:proofErr w:type="spellStart"/>
      <w:r w:rsidR="008F31B5">
        <w:rPr>
          <w:lang w:val="en-GB"/>
        </w:rPr>
        <w:t>eDRX</w:t>
      </w:r>
      <w:proofErr w:type="spellEnd"/>
      <w:r w:rsidR="008F31B5">
        <w:rPr>
          <w:lang w:val="en-GB"/>
        </w:rPr>
        <w:t xml:space="preserve"> cycle </w:t>
      </w:r>
      <m:oMath>
        <m:r>
          <w:rPr>
            <w:rFonts w:ascii="Cambria Math" w:hAnsi="Cambria Math"/>
            <w:lang w:val="en-GB"/>
          </w:rPr>
          <m:t>≥</m:t>
        </m:r>
      </m:oMath>
      <w:r w:rsidR="008F31B5">
        <w:rPr>
          <w:lang w:val="en-GB"/>
        </w:rPr>
        <w:t>10.24s in quasi-earth fixed LEO scenario</w:t>
      </w:r>
      <w:r w:rsidR="008F31B5">
        <w:rPr>
          <w:szCs w:val="21"/>
        </w:rPr>
        <w:t>.</w:t>
      </w:r>
      <w:r w:rsidR="008F31B5">
        <w:rPr>
          <w:lang w:val="en-GB"/>
        </w:rPr>
        <w:t xml:space="preserve"> </w:t>
      </w:r>
      <w:r w:rsidR="00C07E73">
        <w:rPr>
          <w:lang w:val="en-GB"/>
        </w:rPr>
        <w:t xml:space="preserve">The definition of </w:t>
      </w:r>
      <w:r w:rsidR="00C07E73" w:rsidRPr="00C07E73">
        <w:rPr>
          <w:lang w:val="en-GB"/>
        </w:rPr>
        <w:t>Quasi-Earth-fixed cell</w:t>
      </w:r>
      <w:r w:rsidR="00C07E73">
        <w:rPr>
          <w:lang w:val="en-GB"/>
        </w:rPr>
        <w:t xml:space="preserve"> is: </w:t>
      </w:r>
      <w:r w:rsidR="00C07E73" w:rsidRPr="00C07E73">
        <w:t>An NTN cell fixed with respect to a certain geographic area on Earth during a certain time</w:t>
      </w:r>
      <w:r w:rsidR="00C07E73">
        <w:t xml:space="preserve"> </w:t>
      </w:r>
      <w:r w:rsidR="00C07E73" w:rsidRPr="00C07E73">
        <w:t>duration. It can be provisioned by beam(s) covering one geographic area for a limited period and a different geographic</w:t>
      </w:r>
      <w:r w:rsidR="00C07E73">
        <w:t xml:space="preserve"> </w:t>
      </w:r>
      <w:r w:rsidR="00C07E73" w:rsidRPr="00C07E73">
        <w:t>area during another period (e.g., the case of NGSO satellites generating steerable beams).</w:t>
      </w:r>
      <w:r w:rsidR="00C07E73">
        <w:t xml:space="preserve"> In TS38.331, t-Service is used to decide the service time for </w:t>
      </w:r>
      <w:r w:rsidR="00C07E73" w:rsidRPr="00C07E73">
        <w:t>both service link switches in NTN</w:t>
      </w:r>
      <w:r w:rsidR="00C07E73">
        <w:t xml:space="preserve"> </w:t>
      </w:r>
      <w:r w:rsidR="00C07E73" w:rsidRPr="00C07E73">
        <w:t>quasi-Earth fixed cell and feeder link switches for both NTN quasi-Earth fixed and Earth-moving cell</w:t>
      </w:r>
      <w:r w:rsidR="00C07E73">
        <w:t xml:space="preserve">. However, there is </w:t>
      </w:r>
      <w:proofErr w:type="gramStart"/>
      <w:r w:rsidR="00C07E73">
        <w:t>no</w:t>
      </w:r>
      <w:proofErr w:type="gramEnd"/>
      <w:r w:rsidR="00C07E73">
        <w:t xml:space="preserve"> any limitation in the spec for the total service length of a </w:t>
      </w:r>
      <w:r w:rsidR="00C07E73" w:rsidRPr="00C07E73">
        <w:t>quasi-Earth fixed</w:t>
      </w:r>
      <w:r w:rsidR="00C07E73">
        <w:t xml:space="preserve"> cell. Thus, we </w:t>
      </w:r>
      <w:proofErr w:type="gramStart"/>
      <w:r w:rsidR="00C07E73">
        <w:t>propose:</w:t>
      </w:r>
      <w:proofErr w:type="gramEnd"/>
      <w:r w:rsidR="00C07E73">
        <w:t xml:space="preserve"> </w:t>
      </w:r>
      <w:r w:rsidR="00C07E73">
        <w:rPr>
          <w:szCs w:val="21"/>
        </w:rPr>
        <w:t>for quasi-earth fixed LEO scenario,</w:t>
      </w:r>
      <w:r w:rsidR="00C07E73">
        <w:t xml:space="preserve"> to define and apply </w:t>
      </w:r>
      <w:proofErr w:type="spellStart"/>
      <w:r w:rsidR="00C07E73">
        <w:rPr>
          <w:szCs w:val="21"/>
        </w:rPr>
        <w:t>eDRX</w:t>
      </w:r>
      <w:proofErr w:type="spellEnd"/>
      <w:r w:rsidR="00C07E73">
        <w:rPr>
          <w:szCs w:val="21"/>
        </w:rPr>
        <w:t xml:space="preserve"> related requirements in </w:t>
      </w:r>
      <w:proofErr w:type="spellStart"/>
      <w:r w:rsidR="00C07E73">
        <w:rPr>
          <w:szCs w:val="21"/>
        </w:rPr>
        <w:t>RRC_Idle</w:t>
      </w:r>
      <w:proofErr w:type="spellEnd"/>
      <w:r w:rsidR="00C07E73">
        <w:rPr>
          <w:szCs w:val="21"/>
        </w:rPr>
        <w:t xml:space="preserve"> / </w:t>
      </w:r>
      <w:proofErr w:type="spellStart"/>
      <w:r w:rsidR="00C07E73">
        <w:rPr>
          <w:szCs w:val="21"/>
        </w:rPr>
        <w:t>RRC_Inactive</w:t>
      </w:r>
      <w:proofErr w:type="spellEnd"/>
      <w:r w:rsidR="00C07E73">
        <w:rPr>
          <w:szCs w:val="21"/>
        </w:rPr>
        <w:t xml:space="preserve"> mode for (e)</w:t>
      </w:r>
      <w:proofErr w:type="spellStart"/>
      <w:r w:rsidR="00C07E73">
        <w:rPr>
          <w:szCs w:val="21"/>
        </w:rPr>
        <w:t>RedCap</w:t>
      </w:r>
      <w:proofErr w:type="spellEnd"/>
      <w:r w:rsidR="00C07E73">
        <w:rPr>
          <w:szCs w:val="21"/>
        </w:rPr>
        <w:t xml:space="preserve"> UE with FR1-NTN for all </w:t>
      </w:r>
      <w:proofErr w:type="spellStart"/>
      <w:r w:rsidR="00C07E73">
        <w:rPr>
          <w:szCs w:val="21"/>
        </w:rPr>
        <w:t>eDRX</w:t>
      </w:r>
      <w:proofErr w:type="spellEnd"/>
      <w:r w:rsidR="00C07E73">
        <w:rPr>
          <w:szCs w:val="21"/>
        </w:rPr>
        <w:t xml:space="preserve"> cycles.</w:t>
      </w:r>
    </w:p>
    <w:p w14:paraId="6C97FE7C" w14:textId="60821C33" w:rsidR="00C07E73" w:rsidRDefault="00C07E73" w:rsidP="000A52A0">
      <w:pPr>
        <w:jc w:val="both"/>
        <w:rPr>
          <w:lang w:val="en-GB"/>
        </w:rPr>
      </w:pPr>
      <w:r>
        <w:rPr>
          <w:noProof/>
          <w:lang w:val="en-GB"/>
        </w:rPr>
        <w:drawing>
          <wp:inline distT="0" distB="0" distL="0" distR="0" wp14:anchorId="7A80AE7C" wp14:editId="02172C0C">
            <wp:extent cx="6332220" cy="698500"/>
            <wp:effectExtent l="0" t="0" r="5080" b="0"/>
            <wp:docPr id="1893220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220939" name="Picture 1893220939"/>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698500"/>
                    </a:xfrm>
                    <a:prstGeom prst="rect">
                      <a:avLst/>
                    </a:prstGeom>
                  </pic:spPr>
                </pic:pic>
              </a:graphicData>
            </a:graphic>
          </wp:inline>
        </w:drawing>
      </w:r>
    </w:p>
    <w:p w14:paraId="703794C4" w14:textId="2417B1B7" w:rsidR="00DD5C9C" w:rsidRDefault="00DD5C9C" w:rsidP="00DD5C9C">
      <w:pPr>
        <w:jc w:val="both"/>
        <w:rPr>
          <w:b/>
          <w:bCs/>
          <w:i/>
          <w:iCs/>
          <w:lang w:val="en-GB"/>
        </w:rPr>
      </w:pPr>
      <w:r>
        <w:rPr>
          <w:b/>
          <w:bCs/>
          <w:i/>
          <w:iCs/>
          <w:lang w:val="en-GB"/>
        </w:rPr>
        <w:t xml:space="preserve">Proposal </w:t>
      </w:r>
      <w:r w:rsidR="00F5672F">
        <w:rPr>
          <w:b/>
          <w:bCs/>
          <w:i/>
          <w:iCs/>
          <w:lang w:val="en-GB"/>
        </w:rPr>
        <w:t>2</w:t>
      </w:r>
      <w:r>
        <w:rPr>
          <w:b/>
          <w:bCs/>
          <w:i/>
          <w:iCs/>
          <w:lang w:val="en-GB"/>
        </w:rPr>
        <w:t xml:space="preserve">: </w:t>
      </w:r>
      <w:r w:rsidR="00C07E73" w:rsidRPr="00C07E73">
        <w:rPr>
          <w:b/>
          <w:bCs/>
          <w:i/>
          <w:iCs/>
          <w:lang w:val="en-GB"/>
        </w:rPr>
        <w:t xml:space="preserve">for quasi-earth fixed LEO scenario, to define and apply </w:t>
      </w:r>
      <w:proofErr w:type="spellStart"/>
      <w:r w:rsidR="00C07E73" w:rsidRPr="00C07E73">
        <w:rPr>
          <w:b/>
          <w:bCs/>
          <w:i/>
          <w:iCs/>
          <w:lang w:val="en-GB"/>
        </w:rPr>
        <w:t>eDRX</w:t>
      </w:r>
      <w:proofErr w:type="spellEnd"/>
      <w:r w:rsidR="00C07E73" w:rsidRPr="00C07E73">
        <w:rPr>
          <w:b/>
          <w:bCs/>
          <w:i/>
          <w:iCs/>
          <w:lang w:val="en-GB"/>
        </w:rPr>
        <w:t xml:space="preserve"> related requirements in </w:t>
      </w:r>
      <w:proofErr w:type="spellStart"/>
      <w:r w:rsidR="00C07E73" w:rsidRPr="00C07E73">
        <w:rPr>
          <w:b/>
          <w:bCs/>
          <w:i/>
          <w:iCs/>
          <w:lang w:val="en-GB"/>
        </w:rPr>
        <w:t>RRC_Idle</w:t>
      </w:r>
      <w:proofErr w:type="spellEnd"/>
      <w:r w:rsidR="00C07E73" w:rsidRPr="00C07E73">
        <w:rPr>
          <w:b/>
          <w:bCs/>
          <w:i/>
          <w:iCs/>
          <w:lang w:val="en-GB"/>
        </w:rPr>
        <w:t xml:space="preserve"> / </w:t>
      </w:r>
      <w:proofErr w:type="spellStart"/>
      <w:r w:rsidR="00C07E73" w:rsidRPr="00C07E73">
        <w:rPr>
          <w:b/>
          <w:bCs/>
          <w:i/>
          <w:iCs/>
          <w:lang w:val="en-GB"/>
        </w:rPr>
        <w:t>RRC_Inactive</w:t>
      </w:r>
      <w:proofErr w:type="spellEnd"/>
      <w:r w:rsidR="00C07E73" w:rsidRPr="00C07E73">
        <w:rPr>
          <w:b/>
          <w:bCs/>
          <w:i/>
          <w:iCs/>
          <w:lang w:val="en-GB"/>
        </w:rPr>
        <w:t xml:space="preserve"> mode for (e)</w:t>
      </w:r>
      <w:proofErr w:type="spellStart"/>
      <w:r w:rsidR="00C07E73" w:rsidRPr="00C07E73">
        <w:rPr>
          <w:b/>
          <w:bCs/>
          <w:i/>
          <w:iCs/>
          <w:lang w:val="en-GB"/>
        </w:rPr>
        <w:t>RedCap</w:t>
      </w:r>
      <w:proofErr w:type="spellEnd"/>
      <w:r w:rsidR="00C07E73" w:rsidRPr="00C07E73">
        <w:rPr>
          <w:b/>
          <w:bCs/>
          <w:i/>
          <w:iCs/>
          <w:lang w:val="en-GB"/>
        </w:rPr>
        <w:t xml:space="preserve"> UE with FR1-NTN for all </w:t>
      </w:r>
      <w:proofErr w:type="spellStart"/>
      <w:r w:rsidR="00C07E73" w:rsidRPr="00C07E73">
        <w:rPr>
          <w:b/>
          <w:bCs/>
          <w:i/>
          <w:iCs/>
          <w:lang w:val="en-GB"/>
        </w:rPr>
        <w:t>eDRX</w:t>
      </w:r>
      <w:proofErr w:type="spellEnd"/>
      <w:r w:rsidR="00C07E73" w:rsidRPr="00C07E73">
        <w:rPr>
          <w:b/>
          <w:bCs/>
          <w:i/>
          <w:iCs/>
          <w:lang w:val="en-GB"/>
        </w:rPr>
        <w:t xml:space="preserve"> cycles.</w:t>
      </w:r>
    </w:p>
    <w:p w14:paraId="235F4751" w14:textId="77777777" w:rsidR="00C07E73" w:rsidRPr="00C07E73" w:rsidRDefault="00C07E73" w:rsidP="00C07E73">
      <w:pPr>
        <w:rPr>
          <w:b/>
          <w:bCs/>
          <w:u w:val="single"/>
          <w:lang w:eastAsia="ko-KR"/>
        </w:rPr>
      </w:pPr>
      <w:r w:rsidRPr="00C07E73">
        <w:rPr>
          <w:b/>
          <w:bCs/>
          <w:u w:val="single"/>
          <w:lang w:eastAsia="ko-KR"/>
        </w:rPr>
        <w:t xml:space="preserve">Issue </w:t>
      </w:r>
      <w:r w:rsidRPr="00C07E73">
        <w:rPr>
          <w:rFonts w:hint="eastAsia"/>
          <w:b/>
          <w:bCs/>
          <w:u w:val="single"/>
          <w:lang w:eastAsia="ko-KR"/>
        </w:rPr>
        <w:t>1</w:t>
      </w:r>
      <w:r w:rsidRPr="00C07E73">
        <w:rPr>
          <w:b/>
          <w:bCs/>
          <w:u w:val="single"/>
          <w:lang w:eastAsia="ko-KR"/>
        </w:rPr>
        <w:t>-</w:t>
      </w:r>
      <w:r w:rsidRPr="00C07E73">
        <w:rPr>
          <w:rFonts w:hint="eastAsia"/>
          <w:b/>
          <w:bCs/>
          <w:u w:val="single"/>
          <w:lang w:eastAsia="ko-KR"/>
        </w:rPr>
        <w:t>2</w:t>
      </w:r>
      <w:r w:rsidRPr="00C07E73">
        <w:rPr>
          <w:b/>
          <w:bCs/>
          <w:u w:val="single"/>
          <w:lang w:eastAsia="ko-KR"/>
        </w:rPr>
        <w:t>-</w:t>
      </w:r>
      <w:r w:rsidRPr="00C07E73">
        <w:rPr>
          <w:rFonts w:hint="eastAsia"/>
          <w:b/>
          <w:bCs/>
          <w:u w:val="single"/>
          <w:lang w:eastAsia="ko-KR"/>
        </w:rPr>
        <w:t>4</w:t>
      </w:r>
      <w:r w:rsidRPr="00C07E73">
        <w:rPr>
          <w:b/>
          <w:bCs/>
          <w:u w:val="single"/>
          <w:lang w:eastAsia="ko-KR"/>
        </w:rPr>
        <w:t>: Multiple SMTCs</w:t>
      </w:r>
    </w:p>
    <w:tbl>
      <w:tblPr>
        <w:tblStyle w:val="TableGrid"/>
        <w:tblW w:w="0" w:type="auto"/>
        <w:tblLook w:val="04A0" w:firstRow="1" w:lastRow="0" w:firstColumn="1" w:lastColumn="0" w:noHBand="0" w:noVBand="1"/>
      </w:tblPr>
      <w:tblGrid>
        <w:gridCol w:w="9962"/>
      </w:tblGrid>
      <w:tr w:rsidR="00C07E73" w14:paraId="632F7A24" w14:textId="77777777" w:rsidTr="00C07E73">
        <w:tc>
          <w:tcPr>
            <w:tcW w:w="9962" w:type="dxa"/>
          </w:tcPr>
          <w:p w14:paraId="39B47662" w14:textId="77777777" w:rsidR="00C07E73" w:rsidRDefault="00C07E73" w:rsidP="00C07E73">
            <w:pPr>
              <w:rPr>
                <w:b/>
                <w:highlight w:val="green"/>
              </w:rPr>
            </w:pPr>
            <w:r>
              <w:rPr>
                <w:b/>
                <w:highlight w:val="green"/>
              </w:rPr>
              <w:t>&lt;Agreement</w:t>
            </w:r>
            <w:r>
              <w:rPr>
                <w:rFonts w:hint="eastAsia"/>
                <w:b/>
                <w:highlight w:val="green"/>
              </w:rPr>
              <w:t>s</w:t>
            </w:r>
            <w:r>
              <w:rPr>
                <w:b/>
                <w:highlight w:val="green"/>
              </w:rPr>
              <w:t>&gt;</w:t>
            </w:r>
            <w:r>
              <w:rPr>
                <w:rFonts w:hint="eastAsia"/>
                <w:b/>
                <w:highlight w:val="green"/>
              </w:rPr>
              <w:t>:</w:t>
            </w:r>
          </w:p>
          <w:p w14:paraId="5B2E5B4D" w14:textId="77777777" w:rsidR="00C07E73" w:rsidRDefault="00C07E73" w:rsidP="00C07E73">
            <w:pPr>
              <w:pStyle w:val="ListParagraph"/>
              <w:widowControl/>
              <w:numPr>
                <w:ilvl w:val="0"/>
                <w:numId w:val="22"/>
              </w:numPr>
              <w:overflowPunct/>
              <w:autoSpaceDE/>
              <w:autoSpaceDN/>
              <w:adjustRightInd/>
              <w:spacing w:before="0" w:beforeAutospacing="0" w:after="120" w:line="240" w:lineRule="auto"/>
              <w:ind w:left="720" w:firstLineChars="0"/>
              <w:textAlignment w:val="auto"/>
              <w:rPr>
                <w:lang w:eastAsia="ko-KR"/>
              </w:rPr>
            </w:pPr>
            <w:r>
              <w:rPr>
                <w:rFonts w:hint="eastAsia"/>
                <w:sz w:val="20"/>
                <w:lang w:val="en-US" w:eastAsia="zh-CN"/>
              </w:rPr>
              <w:t>RAN4 to d</w:t>
            </w:r>
            <w:proofErr w:type="spellStart"/>
            <w:r>
              <w:rPr>
                <w:rFonts w:hint="eastAsia"/>
                <w:sz w:val="20"/>
                <w:lang w:eastAsia="ko-KR"/>
              </w:rPr>
              <w:t>efine</w:t>
            </w:r>
            <w:proofErr w:type="spellEnd"/>
            <w:r>
              <w:rPr>
                <w:rFonts w:hint="eastAsia"/>
                <w:sz w:val="20"/>
                <w:lang w:eastAsia="ko-KR"/>
              </w:rPr>
              <w:t xml:space="preserve"> RRM requirements for multiple SMTC-s for a single frequency carrier for (e)</w:t>
            </w:r>
            <w:proofErr w:type="spellStart"/>
            <w:r>
              <w:rPr>
                <w:rFonts w:hint="eastAsia"/>
                <w:sz w:val="20"/>
                <w:lang w:eastAsia="ko-KR"/>
              </w:rPr>
              <w:t>RedCap</w:t>
            </w:r>
            <w:proofErr w:type="spellEnd"/>
            <w:r>
              <w:rPr>
                <w:rFonts w:hint="eastAsia"/>
                <w:sz w:val="20"/>
                <w:lang w:eastAsia="ko-KR"/>
              </w:rPr>
              <w:t xml:space="preserve"> UEs</w:t>
            </w:r>
            <w:r>
              <w:rPr>
                <w:rFonts w:hint="eastAsia"/>
                <w:sz w:val="20"/>
                <w:lang w:val="en-US" w:eastAsia="zh-CN"/>
              </w:rPr>
              <w:t>.</w:t>
            </w:r>
          </w:p>
          <w:p w14:paraId="1C7180AD" w14:textId="77777777" w:rsidR="00C07E73" w:rsidRDefault="00C07E73" w:rsidP="00C07E73">
            <w:pPr>
              <w:pStyle w:val="ListParagraph"/>
              <w:widowControl/>
              <w:numPr>
                <w:ilvl w:val="0"/>
                <w:numId w:val="22"/>
              </w:numPr>
              <w:overflowPunct/>
              <w:autoSpaceDE/>
              <w:autoSpaceDN/>
              <w:adjustRightInd/>
              <w:spacing w:before="0" w:beforeAutospacing="0" w:after="120" w:line="240" w:lineRule="auto"/>
              <w:ind w:left="720" w:firstLineChars="0"/>
              <w:textAlignment w:val="auto"/>
              <w:rPr>
                <w:lang w:eastAsia="ko-KR"/>
              </w:rPr>
            </w:pPr>
            <w:r>
              <w:rPr>
                <w:rFonts w:hint="eastAsia"/>
                <w:sz w:val="20"/>
                <w:lang w:eastAsia="ko-KR"/>
              </w:rPr>
              <w:t>For whether to support parallel measurements on multiple NGSO satellites within a SMTC (Feature 25-5) for (e)</w:t>
            </w:r>
            <w:proofErr w:type="spellStart"/>
            <w:r>
              <w:rPr>
                <w:rFonts w:hint="eastAsia"/>
                <w:sz w:val="20"/>
                <w:lang w:eastAsia="ko-KR"/>
              </w:rPr>
              <w:t>RedCap</w:t>
            </w:r>
            <w:proofErr w:type="spellEnd"/>
            <w:r>
              <w:rPr>
                <w:rFonts w:hint="eastAsia"/>
                <w:sz w:val="20"/>
                <w:lang w:eastAsia="ko-KR"/>
              </w:rPr>
              <w:t xml:space="preserve"> UEs?</w:t>
            </w:r>
          </w:p>
          <w:p w14:paraId="49622F4F" w14:textId="77777777" w:rsidR="00C07E73" w:rsidRDefault="00C07E73" w:rsidP="00C07E73">
            <w:pPr>
              <w:pStyle w:val="ListParagraph"/>
              <w:widowControl/>
              <w:numPr>
                <w:ilvl w:val="1"/>
                <w:numId w:val="22"/>
              </w:numPr>
              <w:overflowPunct/>
              <w:autoSpaceDE/>
              <w:autoSpaceDN/>
              <w:adjustRightInd/>
              <w:spacing w:before="0" w:beforeAutospacing="0" w:after="0" w:line="240" w:lineRule="auto"/>
              <w:ind w:left="1655" w:firstLineChars="0" w:hanging="357"/>
              <w:textAlignment w:val="auto"/>
              <w:rPr>
                <w:lang w:eastAsia="ko-KR"/>
              </w:rPr>
            </w:pPr>
            <w:r>
              <w:rPr>
                <w:rFonts w:hint="eastAsia"/>
                <w:sz w:val="20"/>
                <w:lang w:eastAsia="ko-KR"/>
              </w:rPr>
              <w:t xml:space="preserve">Option </w:t>
            </w:r>
            <w:r>
              <w:rPr>
                <w:rFonts w:hint="eastAsia"/>
                <w:sz w:val="20"/>
                <w:lang w:val="en-US" w:eastAsia="zh-CN"/>
              </w:rPr>
              <w:t>1 (MTK, Xiaomi, Samsung, ZTE, Ericsson, LG, QC)</w:t>
            </w:r>
            <w:r>
              <w:rPr>
                <w:rFonts w:hint="eastAsia"/>
                <w:sz w:val="20"/>
                <w:lang w:eastAsia="ko-KR"/>
              </w:rPr>
              <w:t xml:space="preserve">: Not support </w:t>
            </w:r>
          </w:p>
          <w:p w14:paraId="56BDC7F5" w14:textId="77777777" w:rsidR="00C07E73" w:rsidRDefault="00C07E73" w:rsidP="00C07E73">
            <w:pPr>
              <w:pStyle w:val="ListParagraph"/>
              <w:widowControl/>
              <w:numPr>
                <w:ilvl w:val="1"/>
                <w:numId w:val="22"/>
              </w:numPr>
              <w:overflowPunct/>
              <w:autoSpaceDE/>
              <w:autoSpaceDN/>
              <w:adjustRightInd/>
              <w:spacing w:before="0" w:beforeAutospacing="0" w:line="240" w:lineRule="auto"/>
              <w:ind w:left="1655" w:firstLineChars="0" w:hanging="357"/>
              <w:textAlignment w:val="auto"/>
              <w:rPr>
                <w:lang w:eastAsia="ko-KR"/>
              </w:rPr>
            </w:pPr>
            <w:r>
              <w:rPr>
                <w:rFonts w:hint="eastAsia"/>
                <w:sz w:val="20"/>
                <w:lang w:eastAsia="ko-KR"/>
              </w:rPr>
              <w:t xml:space="preserve">Option </w:t>
            </w:r>
            <w:r>
              <w:rPr>
                <w:rFonts w:hint="eastAsia"/>
                <w:sz w:val="20"/>
                <w:lang w:val="en-US" w:eastAsia="zh-CN"/>
              </w:rPr>
              <w:t>2 (HW, Nokia)</w:t>
            </w:r>
            <w:r>
              <w:rPr>
                <w:rFonts w:hint="eastAsia"/>
                <w:sz w:val="20"/>
                <w:lang w:eastAsia="ko-KR"/>
              </w:rPr>
              <w:t xml:space="preserve">: </w:t>
            </w:r>
            <w:r>
              <w:rPr>
                <w:rFonts w:hint="eastAsia"/>
                <w:sz w:val="20"/>
                <w:lang w:val="en-US" w:eastAsia="zh-CN"/>
              </w:rPr>
              <w:t>FFS</w:t>
            </w:r>
          </w:p>
          <w:p w14:paraId="49ACEF2D" w14:textId="77777777" w:rsidR="00C07E73" w:rsidRDefault="00C07E73" w:rsidP="00C07E73">
            <w:pPr>
              <w:pStyle w:val="ListParagraph"/>
              <w:widowControl/>
              <w:numPr>
                <w:ilvl w:val="0"/>
                <w:numId w:val="22"/>
              </w:numPr>
              <w:overflowPunct/>
              <w:autoSpaceDE/>
              <w:autoSpaceDN/>
              <w:adjustRightInd/>
              <w:spacing w:before="0" w:beforeAutospacing="0" w:after="120" w:line="240" w:lineRule="auto"/>
              <w:ind w:left="720" w:firstLineChars="0"/>
              <w:textAlignment w:val="auto"/>
              <w:rPr>
                <w:lang w:eastAsia="ko-KR"/>
              </w:rPr>
            </w:pPr>
            <w:r>
              <w:rPr>
                <w:rFonts w:hint="eastAsia"/>
                <w:lang w:val="en-US" w:eastAsia="zh-CN"/>
              </w:rPr>
              <w:lastRenderedPageBreak/>
              <w:t xml:space="preserve">Further discuss </w:t>
            </w:r>
            <w:r>
              <w:rPr>
                <w:rFonts w:hint="eastAsia"/>
                <w:lang w:eastAsia="ko-KR"/>
              </w:rPr>
              <w:t>the supported number of SMTCs</w:t>
            </w:r>
            <w:r>
              <w:rPr>
                <w:rFonts w:hint="eastAsia"/>
                <w:lang w:val="en-US" w:eastAsia="zh-CN"/>
              </w:rPr>
              <w:t xml:space="preserve">, </w:t>
            </w:r>
            <w:proofErr w:type="spellStart"/>
            <w:r>
              <w:rPr>
                <w:rFonts w:hint="eastAsia"/>
                <w:lang w:val="en-US" w:eastAsia="zh-CN"/>
              </w:rPr>
              <w:t>t</w:t>
            </w:r>
            <w:r>
              <w:rPr>
                <w:rFonts w:hint="eastAsia"/>
                <w:lang w:eastAsia="ko-KR"/>
              </w:rPr>
              <w:t>he</w:t>
            </w:r>
            <w:proofErr w:type="spellEnd"/>
            <w:r>
              <w:rPr>
                <w:rFonts w:hint="eastAsia"/>
                <w:lang w:eastAsia="ko-KR"/>
              </w:rPr>
              <w:t xml:space="preserve"> number of cells and SSB</w:t>
            </w:r>
            <w:r>
              <w:rPr>
                <w:rFonts w:hint="eastAsia"/>
                <w:lang w:val="en-US" w:eastAsia="zh-CN"/>
              </w:rPr>
              <w:t xml:space="preserve">, </w:t>
            </w:r>
            <w:proofErr w:type="spellStart"/>
            <w:r>
              <w:rPr>
                <w:rFonts w:hint="eastAsia"/>
                <w:lang w:val="en-US" w:eastAsia="zh-CN"/>
              </w:rPr>
              <w:t>t</w:t>
            </w:r>
            <w:r>
              <w:rPr>
                <w:rFonts w:hint="eastAsia"/>
                <w:lang w:eastAsia="ko-KR"/>
              </w:rPr>
              <w:t>he</w:t>
            </w:r>
            <w:proofErr w:type="spellEnd"/>
            <w:r>
              <w:rPr>
                <w:rFonts w:hint="eastAsia"/>
                <w:lang w:eastAsia="ko-KR"/>
              </w:rPr>
              <w:t xml:space="preserve"> number of supported satellites</w:t>
            </w:r>
            <w:r>
              <w:rPr>
                <w:rFonts w:hint="eastAsia"/>
                <w:lang w:val="en-US" w:eastAsia="zh-CN"/>
              </w:rPr>
              <w:t>, the proximity distance between two SMTCs.</w:t>
            </w:r>
          </w:p>
          <w:p w14:paraId="0A605DC7" w14:textId="77777777" w:rsidR="00C07E73" w:rsidRDefault="00C07E73" w:rsidP="00C07E73">
            <w:pPr>
              <w:pStyle w:val="ListParagraph"/>
              <w:widowControl/>
              <w:numPr>
                <w:ilvl w:val="0"/>
                <w:numId w:val="22"/>
              </w:numPr>
              <w:overflowPunct/>
              <w:autoSpaceDE/>
              <w:autoSpaceDN/>
              <w:adjustRightInd/>
              <w:spacing w:before="0" w:beforeAutospacing="0" w:after="120" w:line="240" w:lineRule="auto"/>
              <w:ind w:left="720" w:firstLineChars="0"/>
              <w:textAlignment w:val="auto"/>
              <w:rPr>
                <w:lang w:eastAsia="ko-KR"/>
              </w:rPr>
            </w:pPr>
            <w:r>
              <w:rPr>
                <w:rFonts w:hint="eastAsia"/>
                <w:lang w:val="en-US" w:eastAsia="zh-CN"/>
              </w:rPr>
              <w:t xml:space="preserve">Further discuss the specific measurement requirements, </w:t>
            </w:r>
            <w:proofErr w:type="spellStart"/>
            <w:r>
              <w:rPr>
                <w:rFonts w:hint="eastAsia"/>
                <w:lang w:val="en-US" w:eastAsia="zh-CN"/>
              </w:rPr>
              <w:t>i.e</w:t>
            </w:r>
            <w:proofErr w:type="spellEnd"/>
            <w:r>
              <w:rPr>
                <w:rFonts w:hint="eastAsia"/>
                <w:lang w:val="en-US" w:eastAsia="zh-CN"/>
              </w:rPr>
              <w:t xml:space="preserve">, whether and how to extend measurement period. </w:t>
            </w:r>
          </w:p>
          <w:p w14:paraId="6C891D21" w14:textId="5FC3307D" w:rsidR="00C07E73" w:rsidRPr="00C07E73" w:rsidRDefault="00C07E73" w:rsidP="00C07E73">
            <w:pPr>
              <w:pStyle w:val="ListParagraph"/>
              <w:widowControl/>
              <w:numPr>
                <w:ilvl w:val="0"/>
                <w:numId w:val="22"/>
              </w:numPr>
              <w:overflowPunct/>
              <w:autoSpaceDE/>
              <w:autoSpaceDN/>
              <w:adjustRightInd/>
              <w:spacing w:before="0" w:beforeAutospacing="0" w:after="120" w:line="240" w:lineRule="auto"/>
              <w:ind w:left="720" w:firstLineChars="0"/>
              <w:textAlignment w:val="auto"/>
            </w:pPr>
            <w:r>
              <w:rPr>
                <w:rFonts w:hint="eastAsia"/>
                <w:lang w:val="en-US" w:eastAsia="zh-CN"/>
              </w:rPr>
              <w:t>Further discuss other R17 NTN UE capabilities (</w:t>
            </w:r>
            <w:proofErr w:type="spellStart"/>
            <w:r>
              <w:rPr>
                <w:rFonts w:hint="eastAsia"/>
                <w:lang w:val="en-US" w:eastAsia="zh-CN"/>
              </w:rPr>
              <w:t>i.e</w:t>
            </w:r>
            <w:proofErr w:type="spellEnd"/>
            <w:r>
              <w:rPr>
                <w:rFonts w:hint="eastAsia"/>
                <w:lang w:val="en-US" w:eastAsia="zh-CN"/>
              </w:rPr>
              <w:t xml:space="preserve">, </w:t>
            </w:r>
            <w:proofErr w:type="gramStart"/>
            <w:r>
              <w:rPr>
                <w:rFonts w:hint="eastAsia"/>
                <w:sz w:val="20"/>
                <w:lang w:eastAsia="ko-KR"/>
              </w:rPr>
              <w:t>Feature</w:t>
            </w:r>
            <w:proofErr w:type="gramEnd"/>
            <w:r>
              <w:rPr>
                <w:rFonts w:hint="eastAsia"/>
                <w:sz w:val="20"/>
                <w:lang w:val="en-US" w:eastAsia="zh-CN"/>
              </w:rPr>
              <w:t xml:space="preserve"> </w:t>
            </w:r>
            <w:r>
              <w:rPr>
                <w:rFonts w:hint="eastAsia"/>
                <w:lang w:val="en-US" w:eastAsia="zh-CN"/>
              </w:rPr>
              <w:t>25-2/25-3) related to 'in parallel'.</w:t>
            </w:r>
          </w:p>
        </w:tc>
      </w:tr>
    </w:tbl>
    <w:p w14:paraId="505D5165" w14:textId="63107DDA" w:rsidR="00C07E73" w:rsidRDefault="00883206" w:rsidP="00DD5C9C">
      <w:pPr>
        <w:jc w:val="both"/>
      </w:pPr>
      <w:r w:rsidRPr="00883206">
        <w:rPr>
          <w:rFonts w:hint="eastAsia"/>
        </w:rPr>
        <w:lastRenderedPageBreak/>
        <w:t>Regarding</w:t>
      </w:r>
      <w:r>
        <w:rPr>
          <w:rFonts w:hint="eastAsia"/>
        </w:rPr>
        <w:t xml:space="preserve"> the</w:t>
      </w:r>
      <w:r w:rsidRPr="00883206">
        <w:t xml:space="preserve"> multiple NGSO satellites within a SMTC (Feature 25-5)</w:t>
      </w:r>
      <w:r>
        <w:t>, it will require UE to process the multiple signals from different NGSO satellites with different Doppler compensations. Compared with the legacy NTN UE, power saving and complexity would be more important to the (e)</w:t>
      </w:r>
      <w:proofErr w:type="spellStart"/>
      <w:r>
        <w:t>RedCap</w:t>
      </w:r>
      <w:proofErr w:type="spellEnd"/>
      <w:r>
        <w:t xml:space="preserve"> UE, and therefore we prefer to not consider </w:t>
      </w:r>
      <w:r w:rsidRPr="00883206">
        <w:rPr>
          <w:rFonts w:hint="eastAsia"/>
        </w:rPr>
        <w:t>parallel measurements on multiple NGSO satellites within a SMTC (Feature 25-5) for (e)</w:t>
      </w:r>
      <w:proofErr w:type="spellStart"/>
      <w:r w:rsidRPr="00883206">
        <w:rPr>
          <w:rFonts w:hint="eastAsia"/>
        </w:rPr>
        <w:t>RedCap</w:t>
      </w:r>
      <w:proofErr w:type="spellEnd"/>
      <w:r w:rsidRPr="00883206">
        <w:rPr>
          <w:rFonts w:hint="eastAsia"/>
        </w:rPr>
        <w:t xml:space="preserve"> UEs</w:t>
      </w:r>
      <w:r>
        <w:t>.</w:t>
      </w:r>
    </w:p>
    <w:p w14:paraId="73EF7CAC" w14:textId="4657F0FB" w:rsidR="00883206" w:rsidRDefault="00883206" w:rsidP="00DD5C9C">
      <w:pPr>
        <w:jc w:val="both"/>
        <w:rPr>
          <w:b/>
          <w:bCs/>
          <w:i/>
          <w:iCs/>
        </w:rPr>
      </w:pPr>
      <w:r w:rsidRPr="00883206">
        <w:rPr>
          <w:b/>
          <w:bCs/>
          <w:i/>
          <w:iCs/>
        </w:rPr>
        <w:t xml:space="preserve">Proposal 3: not consider </w:t>
      </w:r>
      <w:r w:rsidRPr="00883206">
        <w:rPr>
          <w:rFonts w:hint="eastAsia"/>
          <w:b/>
          <w:bCs/>
          <w:i/>
          <w:iCs/>
        </w:rPr>
        <w:t>parallel measurements on multiple NGSO satellites within a SMTC (Feature 25-5) for (e)</w:t>
      </w:r>
      <w:proofErr w:type="spellStart"/>
      <w:r w:rsidRPr="00883206">
        <w:rPr>
          <w:rFonts w:hint="eastAsia"/>
          <w:b/>
          <w:bCs/>
          <w:i/>
          <w:iCs/>
        </w:rPr>
        <w:t>RedCap</w:t>
      </w:r>
      <w:proofErr w:type="spellEnd"/>
      <w:r w:rsidRPr="00883206">
        <w:rPr>
          <w:rFonts w:hint="eastAsia"/>
          <w:b/>
          <w:bCs/>
          <w:i/>
          <w:iCs/>
        </w:rPr>
        <w:t xml:space="preserve"> UEs</w:t>
      </w:r>
      <w:r w:rsidRPr="00883206">
        <w:rPr>
          <w:b/>
          <w:bCs/>
          <w:i/>
          <w:iCs/>
        </w:rPr>
        <w:t>.</w:t>
      </w:r>
    </w:p>
    <w:p w14:paraId="3267D5EC" w14:textId="11709BE0" w:rsidR="00883206" w:rsidRDefault="00883206" w:rsidP="00DD5C9C">
      <w:pPr>
        <w:jc w:val="both"/>
      </w:pPr>
      <w:r>
        <w:t>With the multiple SMTC configured on the same carrier, in legacy NTN requirement, RAN4 defined the proximity</w:t>
      </w:r>
      <w:r>
        <w:rPr>
          <w:rFonts w:hint="eastAsia"/>
        </w:rPr>
        <w:t xml:space="preserve"> </w:t>
      </w:r>
      <w:r>
        <w:t xml:space="preserve">for the SMTCs as following, </w:t>
      </w:r>
    </w:p>
    <w:tbl>
      <w:tblPr>
        <w:tblStyle w:val="TableGrid"/>
        <w:tblW w:w="0" w:type="auto"/>
        <w:tblLook w:val="04A0" w:firstRow="1" w:lastRow="0" w:firstColumn="1" w:lastColumn="0" w:noHBand="0" w:noVBand="1"/>
      </w:tblPr>
      <w:tblGrid>
        <w:gridCol w:w="9962"/>
      </w:tblGrid>
      <w:tr w:rsidR="00883206" w14:paraId="543BDE1E" w14:textId="77777777" w:rsidTr="00883206">
        <w:tc>
          <w:tcPr>
            <w:tcW w:w="9962" w:type="dxa"/>
          </w:tcPr>
          <w:p w14:paraId="0AFA57C8" w14:textId="77777777" w:rsidR="00883206" w:rsidRPr="00883206" w:rsidRDefault="00883206" w:rsidP="00883206">
            <w:pPr>
              <w:jc w:val="both"/>
              <w:rPr>
                <w:b/>
                <w:bCs/>
              </w:rPr>
            </w:pPr>
            <w:r w:rsidRPr="00883206">
              <w:rPr>
                <w:b/>
                <w:bCs/>
              </w:rPr>
              <w:t>9.1C.9.3 Collision between multiple SMTCs on a SAN carrier</w:t>
            </w:r>
          </w:p>
          <w:p w14:paraId="41065359" w14:textId="77777777" w:rsidR="00883206" w:rsidRPr="00883206" w:rsidRDefault="00883206" w:rsidP="00883206">
            <w:pPr>
              <w:jc w:val="both"/>
            </w:pPr>
            <w:r w:rsidRPr="00883206">
              <w:t>Collision between occasions of multiple SMTCs may occur as specified in this clause.</w:t>
            </w:r>
          </w:p>
          <w:p w14:paraId="2AB84B72" w14:textId="77777777" w:rsidR="00883206" w:rsidRPr="00883206" w:rsidRDefault="00883206" w:rsidP="00883206">
            <w:pPr>
              <w:jc w:val="both"/>
            </w:pPr>
            <w:r w:rsidRPr="00883206">
              <w:t>When UE is configured with more than one SMTC on a SAN carrier, two SMTC occasions outside measurement gap are considered colliding if at least one of the following conditions is met:</w:t>
            </w:r>
          </w:p>
          <w:p w14:paraId="7B3328EE" w14:textId="77777777" w:rsidR="00883206" w:rsidRPr="00883206" w:rsidRDefault="00883206" w:rsidP="00883206">
            <w:pPr>
              <w:jc w:val="both"/>
            </w:pPr>
            <w:r w:rsidRPr="00883206">
              <w:t>- the two SMTC occasions are fully or partially overlapping in time domain, or</w:t>
            </w:r>
          </w:p>
          <w:p w14:paraId="74B62E77" w14:textId="77777777" w:rsidR="00883206" w:rsidRPr="00883206" w:rsidRDefault="00883206" w:rsidP="00883206">
            <w:pPr>
              <w:jc w:val="both"/>
            </w:pPr>
            <w:r w:rsidRPr="00883206">
              <w:t xml:space="preserve">- the magnitude of the distance between two SMTC occasions in time domain is less than or equals to </w:t>
            </w:r>
            <w:r w:rsidRPr="00883206">
              <w:rPr>
                <w:color w:val="FF0000"/>
                <w:highlight w:val="yellow"/>
              </w:rPr>
              <w:t xml:space="preserve">4 </w:t>
            </w:r>
            <w:proofErr w:type="spellStart"/>
            <w:r w:rsidRPr="00883206">
              <w:rPr>
                <w:color w:val="FF0000"/>
                <w:highlight w:val="yellow"/>
              </w:rPr>
              <w:t>ms</w:t>
            </w:r>
            <w:r w:rsidRPr="00883206">
              <w:t>.</w:t>
            </w:r>
            <w:proofErr w:type="spellEnd"/>
          </w:p>
          <w:p w14:paraId="7FF424FC" w14:textId="6F0CB9AC" w:rsidR="00883206" w:rsidRDefault="00883206" w:rsidP="00883206">
            <w:pPr>
              <w:jc w:val="both"/>
            </w:pPr>
            <w:r w:rsidRPr="00883206">
              <w:t>The distance between two SMTC occasions is defined as the time difference between the ending point of the earlier SMTC occasion and the starting point of the later SMTC occasion.</w:t>
            </w:r>
          </w:p>
        </w:tc>
      </w:tr>
    </w:tbl>
    <w:p w14:paraId="6470408D" w14:textId="1D17A4D0" w:rsidR="00883206" w:rsidRDefault="000237A5" w:rsidP="000237A5">
      <w:pPr>
        <w:jc w:val="center"/>
      </w:pPr>
      <w:r w:rsidRPr="000237A5">
        <w:rPr>
          <w:noProof/>
        </w:rPr>
        <w:drawing>
          <wp:inline distT="0" distB="0" distL="0" distR="0" wp14:anchorId="2F1A7B82" wp14:editId="74218BFF">
            <wp:extent cx="4705032" cy="945536"/>
            <wp:effectExtent l="0" t="0" r="0" b="0"/>
            <wp:docPr id="1589858603" name="Picture 1" descr="A red squa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58603" name="Picture 1" descr="A red square on a black background&#10;&#10;Description automatically generated"/>
                    <pic:cNvPicPr/>
                  </pic:nvPicPr>
                  <pic:blipFill>
                    <a:blip r:embed="rId9"/>
                    <a:stretch>
                      <a:fillRect/>
                    </a:stretch>
                  </pic:blipFill>
                  <pic:spPr>
                    <a:xfrm>
                      <a:off x="0" y="0"/>
                      <a:ext cx="4760045" cy="956592"/>
                    </a:xfrm>
                    <a:prstGeom prst="rect">
                      <a:avLst/>
                    </a:prstGeom>
                  </pic:spPr>
                </pic:pic>
              </a:graphicData>
            </a:graphic>
          </wp:inline>
        </w:drawing>
      </w:r>
    </w:p>
    <w:p w14:paraId="6CADBB4D" w14:textId="1065ACBA" w:rsidR="00883206" w:rsidRDefault="000237A5" w:rsidP="000237A5">
      <w:pPr>
        <w:jc w:val="both"/>
      </w:pPr>
      <w:r w:rsidRPr="000237A5">
        <w:t>The proximity distance between the SMTCs reflects the UE capability of how fast it can complete the post-processing for the data buffered from prior SMTC</w:t>
      </w:r>
      <w:r>
        <w:t xml:space="preserve">. </w:t>
      </w:r>
      <w:r w:rsidRPr="000237A5">
        <w:t xml:space="preserve">If </w:t>
      </w:r>
      <w:r>
        <w:t>network</w:t>
      </w:r>
      <w:r w:rsidRPr="000237A5">
        <w:t xml:space="preserve"> configures 2 SMTCs on </w:t>
      </w:r>
      <w:proofErr w:type="gramStart"/>
      <w:r w:rsidRPr="000237A5">
        <w:t>a</w:t>
      </w:r>
      <w:proofErr w:type="gramEnd"/>
      <w:r w:rsidRPr="000237A5">
        <w:t xml:space="preserve"> NTN carriers and the proximity distance between these two SMTCs are less than 4ms, UE is required to measurement only one of them in </w:t>
      </w:r>
      <w:r>
        <w:t xml:space="preserve">legacy </w:t>
      </w:r>
      <w:r w:rsidRPr="000237A5">
        <w:t>NTN.</w:t>
      </w:r>
      <w:r>
        <w:t xml:space="preserve"> </w:t>
      </w:r>
      <w:r w:rsidRPr="000237A5">
        <w:t xml:space="preserve">Now, considering the </w:t>
      </w:r>
      <w:proofErr w:type="spellStart"/>
      <w:r w:rsidRPr="000237A5">
        <w:t>RedCap</w:t>
      </w:r>
      <w:proofErr w:type="spellEnd"/>
      <w:r w:rsidRPr="000237A5">
        <w:t xml:space="preserve"> UE has </w:t>
      </w:r>
      <w:r>
        <w:t>reduced</w:t>
      </w:r>
      <w:r w:rsidRPr="000237A5">
        <w:t xml:space="preserve"> UE processing capability than legacy non-</w:t>
      </w:r>
      <w:proofErr w:type="spellStart"/>
      <w:r w:rsidRPr="000237A5">
        <w:t>RedCap</w:t>
      </w:r>
      <w:proofErr w:type="spellEnd"/>
      <w:r w:rsidRPr="000237A5">
        <w:t xml:space="preserve"> UE, the proximity distance </w:t>
      </w:r>
      <w:r>
        <w:t>might need to</w:t>
      </w:r>
      <w:r w:rsidRPr="000237A5">
        <w:t xml:space="preserve"> be revisited in the spec.</w:t>
      </w:r>
      <w:r>
        <w:t xml:space="preserve"> We think the relaxation for proximity could be considered for (e)</w:t>
      </w:r>
      <w:proofErr w:type="spellStart"/>
      <w:r>
        <w:t>RedCap</w:t>
      </w:r>
      <w:proofErr w:type="spellEnd"/>
      <w:r>
        <w:t xml:space="preserve"> UE in NTN, e.g.,</w:t>
      </w:r>
    </w:p>
    <w:p w14:paraId="23ABB62D" w14:textId="3161214E" w:rsidR="000237A5" w:rsidRPr="000237A5" w:rsidRDefault="000237A5" w:rsidP="000237A5">
      <w:pPr>
        <w:numPr>
          <w:ilvl w:val="2"/>
          <w:numId w:val="93"/>
        </w:numPr>
        <w:jc w:val="both"/>
      </w:pPr>
      <w:r w:rsidRPr="000237A5">
        <w:lastRenderedPageBreak/>
        <w:t xml:space="preserve">When </w:t>
      </w:r>
      <w:r>
        <w:t>(e)</w:t>
      </w:r>
      <w:proofErr w:type="spellStart"/>
      <w:r w:rsidRPr="000237A5">
        <w:t>RedCap</w:t>
      </w:r>
      <w:proofErr w:type="spellEnd"/>
      <w:r w:rsidRPr="000237A5">
        <w:t xml:space="preserve"> UE is configured with more than one SMTC on a SAN carrier, two SMTC occasions outside measurement gap are considered colliding if at least one of the following conditions is met:</w:t>
      </w:r>
    </w:p>
    <w:p w14:paraId="0D78AF12" w14:textId="77777777" w:rsidR="000237A5" w:rsidRPr="000237A5" w:rsidRDefault="000237A5" w:rsidP="000237A5">
      <w:pPr>
        <w:numPr>
          <w:ilvl w:val="3"/>
          <w:numId w:val="94"/>
        </w:numPr>
        <w:jc w:val="both"/>
      </w:pPr>
      <w:r w:rsidRPr="000237A5">
        <w:t>the two SMTC occasions are fully or partially overlapping in time domain, or</w:t>
      </w:r>
    </w:p>
    <w:p w14:paraId="67A54968" w14:textId="32361344" w:rsidR="000237A5" w:rsidRPr="000237A5" w:rsidRDefault="000237A5" w:rsidP="000237A5">
      <w:pPr>
        <w:numPr>
          <w:ilvl w:val="3"/>
          <w:numId w:val="94"/>
        </w:numPr>
        <w:jc w:val="both"/>
      </w:pPr>
      <w:r w:rsidRPr="000237A5">
        <w:t xml:space="preserve">the magnitude of the distance between two SMTC occasions in time domain is less than or equals to (4+x) </w:t>
      </w:r>
      <w:proofErr w:type="spellStart"/>
      <w:r w:rsidRPr="000237A5">
        <w:t>ms.</w:t>
      </w:r>
      <w:proofErr w:type="spellEnd"/>
      <w:r w:rsidRPr="000237A5">
        <w:t xml:space="preserve"> </w:t>
      </w:r>
      <w:r>
        <w:t>(x is the relaxation for (</w:t>
      </w:r>
      <w:proofErr w:type="spellStart"/>
      <w:r>
        <w:t>eRedCap</w:t>
      </w:r>
      <w:proofErr w:type="spellEnd"/>
      <w:r>
        <w:t xml:space="preserve"> UE)), x can be FFS. We propose 1ms as starting point.</w:t>
      </w:r>
    </w:p>
    <w:p w14:paraId="79CBBCF2" w14:textId="77777777" w:rsidR="000237A5" w:rsidRDefault="000237A5" w:rsidP="000237A5">
      <w:pPr>
        <w:numPr>
          <w:ilvl w:val="2"/>
          <w:numId w:val="93"/>
        </w:numPr>
        <w:jc w:val="both"/>
      </w:pPr>
      <w:r w:rsidRPr="000237A5">
        <w:t>The distance between two SMTC occasions is defined as the time difference between the ending point of the earlier SMTC occasion and the starting point of the later SMTC occasion.</w:t>
      </w:r>
    </w:p>
    <w:p w14:paraId="30831C42" w14:textId="64199B13" w:rsidR="000237A5" w:rsidRDefault="000237A5" w:rsidP="000237A5">
      <w:pPr>
        <w:jc w:val="both"/>
        <w:rPr>
          <w:b/>
          <w:bCs/>
          <w:i/>
          <w:iCs/>
        </w:rPr>
      </w:pPr>
      <w:r w:rsidRPr="000237A5">
        <w:rPr>
          <w:b/>
          <w:bCs/>
          <w:i/>
          <w:iCs/>
        </w:rPr>
        <w:t xml:space="preserve">Proposal 4: to consider </w:t>
      </w:r>
      <w:r>
        <w:rPr>
          <w:b/>
          <w:bCs/>
          <w:i/>
          <w:iCs/>
        </w:rPr>
        <w:t xml:space="preserve">relaxation </w:t>
      </w:r>
      <w:r w:rsidRPr="000237A5">
        <w:rPr>
          <w:b/>
          <w:bCs/>
          <w:i/>
          <w:iCs/>
        </w:rPr>
        <w:t xml:space="preserve">for proximity </w:t>
      </w:r>
      <w:r>
        <w:rPr>
          <w:b/>
          <w:bCs/>
          <w:i/>
          <w:iCs/>
        </w:rPr>
        <w:t>w</w:t>
      </w:r>
      <w:r w:rsidRPr="000237A5">
        <w:rPr>
          <w:b/>
          <w:bCs/>
          <w:i/>
          <w:iCs/>
        </w:rPr>
        <w:t>hen (e)</w:t>
      </w:r>
      <w:proofErr w:type="spellStart"/>
      <w:r w:rsidRPr="000237A5">
        <w:rPr>
          <w:b/>
          <w:bCs/>
          <w:i/>
          <w:iCs/>
        </w:rPr>
        <w:t>RedCap</w:t>
      </w:r>
      <w:proofErr w:type="spellEnd"/>
      <w:r w:rsidRPr="000237A5">
        <w:rPr>
          <w:b/>
          <w:bCs/>
          <w:i/>
          <w:iCs/>
        </w:rPr>
        <w:t xml:space="preserve"> UE is configured with more than one SMTC on a SAN carrier</w:t>
      </w:r>
      <w:r w:rsidR="009B6FCF">
        <w:rPr>
          <w:b/>
          <w:bCs/>
          <w:i/>
          <w:iCs/>
        </w:rPr>
        <w:t>, i.e.,</w:t>
      </w:r>
    </w:p>
    <w:p w14:paraId="304040EC" w14:textId="77777777" w:rsidR="009B6FCF" w:rsidRPr="000237A5" w:rsidRDefault="009B6FCF" w:rsidP="009B6FCF">
      <w:pPr>
        <w:numPr>
          <w:ilvl w:val="2"/>
          <w:numId w:val="93"/>
        </w:numPr>
        <w:jc w:val="both"/>
        <w:rPr>
          <w:b/>
          <w:bCs/>
          <w:i/>
          <w:iCs/>
        </w:rPr>
      </w:pPr>
      <w:r w:rsidRPr="000237A5">
        <w:rPr>
          <w:b/>
          <w:bCs/>
          <w:i/>
          <w:iCs/>
        </w:rPr>
        <w:t xml:space="preserve">When </w:t>
      </w:r>
      <w:r w:rsidRPr="009B6FCF">
        <w:rPr>
          <w:b/>
          <w:bCs/>
          <w:i/>
          <w:iCs/>
        </w:rPr>
        <w:t>(e)</w:t>
      </w:r>
      <w:proofErr w:type="spellStart"/>
      <w:r w:rsidRPr="000237A5">
        <w:rPr>
          <w:b/>
          <w:bCs/>
          <w:i/>
          <w:iCs/>
        </w:rPr>
        <w:t>RedCap</w:t>
      </w:r>
      <w:proofErr w:type="spellEnd"/>
      <w:r w:rsidRPr="000237A5">
        <w:rPr>
          <w:b/>
          <w:bCs/>
          <w:i/>
          <w:iCs/>
        </w:rPr>
        <w:t xml:space="preserve"> UE is configured with more than one SMTC on a SAN carrier, two SMTC occasions outside measurement gap are considered colliding if at least one of the following conditions is met:</w:t>
      </w:r>
    </w:p>
    <w:p w14:paraId="2C07763A" w14:textId="77777777" w:rsidR="009B6FCF" w:rsidRPr="000237A5" w:rsidRDefault="009B6FCF" w:rsidP="009B6FCF">
      <w:pPr>
        <w:numPr>
          <w:ilvl w:val="3"/>
          <w:numId w:val="94"/>
        </w:numPr>
        <w:jc w:val="both"/>
        <w:rPr>
          <w:b/>
          <w:bCs/>
          <w:i/>
          <w:iCs/>
        </w:rPr>
      </w:pPr>
      <w:r w:rsidRPr="000237A5">
        <w:rPr>
          <w:b/>
          <w:bCs/>
          <w:i/>
          <w:iCs/>
        </w:rPr>
        <w:t>the two SMTC occasions are fully or partially overlapping in time domain, or</w:t>
      </w:r>
    </w:p>
    <w:p w14:paraId="354F5667" w14:textId="1D271B6B" w:rsidR="009B6FCF" w:rsidRPr="000237A5" w:rsidRDefault="009B6FCF" w:rsidP="009B6FCF">
      <w:pPr>
        <w:numPr>
          <w:ilvl w:val="3"/>
          <w:numId w:val="94"/>
        </w:numPr>
        <w:jc w:val="both"/>
        <w:rPr>
          <w:b/>
          <w:bCs/>
          <w:i/>
          <w:iCs/>
        </w:rPr>
      </w:pPr>
      <w:r w:rsidRPr="000237A5">
        <w:rPr>
          <w:b/>
          <w:bCs/>
          <w:i/>
          <w:iCs/>
        </w:rPr>
        <w:t xml:space="preserve">the magnitude of the distance between two SMTC occasions in time domain is less than or equals to (4+x) </w:t>
      </w:r>
      <w:proofErr w:type="spellStart"/>
      <w:r w:rsidRPr="000237A5">
        <w:rPr>
          <w:b/>
          <w:bCs/>
          <w:i/>
          <w:iCs/>
        </w:rPr>
        <w:t>ms.</w:t>
      </w:r>
      <w:proofErr w:type="spellEnd"/>
      <w:r w:rsidRPr="000237A5">
        <w:rPr>
          <w:b/>
          <w:bCs/>
          <w:i/>
          <w:iCs/>
        </w:rPr>
        <w:t xml:space="preserve"> </w:t>
      </w:r>
      <w:r w:rsidRPr="009B6FCF">
        <w:rPr>
          <w:b/>
          <w:bCs/>
          <w:i/>
          <w:iCs/>
        </w:rPr>
        <w:t>(x is the relaxation for (</w:t>
      </w:r>
      <w:proofErr w:type="spellStart"/>
      <w:r w:rsidRPr="009B6FCF">
        <w:rPr>
          <w:b/>
          <w:bCs/>
          <w:i/>
          <w:iCs/>
        </w:rPr>
        <w:t>eRedCap</w:t>
      </w:r>
      <w:proofErr w:type="spellEnd"/>
      <w:r w:rsidRPr="009B6FCF">
        <w:rPr>
          <w:b/>
          <w:bCs/>
          <w:i/>
          <w:iCs/>
        </w:rPr>
        <w:t xml:space="preserve"> UE)), x can be FFS. </w:t>
      </w:r>
      <w:r>
        <w:rPr>
          <w:b/>
          <w:bCs/>
          <w:i/>
          <w:iCs/>
        </w:rPr>
        <w:t>(</w:t>
      </w:r>
      <w:r w:rsidRPr="009B6FCF">
        <w:rPr>
          <w:b/>
          <w:bCs/>
          <w:i/>
          <w:iCs/>
        </w:rPr>
        <w:t>We propose 1ms as starting point</w:t>
      </w:r>
      <w:r>
        <w:rPr>
          <w:b/>
          <w:bCs/>
          <w:i/>
          <w:iCs/>
        </w:rPr>
        <w:t>)</w:t>
      </w:r>
    </w:p>
    <w:p w14:paraId="3FB28443" w14:textId="77777777" w:rsidR="009B6FCF" w:rsidRPr="009B6FCF" w:rsidRDefault="009B6FCF" w:rsidP="009B6FCF">
      <w:pPr>
        <w:numPr>
          <w:ilvl w:val="2"/>
          <w:numId w:val="93"/>
        </w:numPr>
        <w:jc w:val="both"/>
        <w:rPr>
          <w:b/>
          <w:bCs/>
          <w:i/>
          <w:iCs/>
        </w:rPr>
      </w:pPr>
      <w:r w:rsidRPr="000237A5">
        <w:rPr>
          <w:b/>
          <w:bCs/>
          <w:i/>
          <w:iCs/>
        </w:rPr>
        <w:t>The distance between two SMTC occasions is defined as the time difference between the ending point of the earlier SMTC occasion and the starting point of the later SMTC occasion.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22AAC943" w14:textId="77777777" w:rsidR="009B6FCF" w:rsidRDefault="009B6FCF" w:rsidP="009B6FCF">
      <w:pPr>
        <w:jc w:val="both"/>
        <w:rPr>
          <w:b/>
          <w:bCs/>
          <w:i/>
          <w:iCs/>
        </w:rPr>
      </w:pPr>
      <w:r w:rsidRPr="004613F9">
        <w:rPr>
          <w:b/>
          <w:bCs/>
          <w:i/>
          <w:iCs/>
          <w:lang w:val="en-GB"/>
        </w:rPr>
        <w:t xml:space="preserve">Proposal </w:t>
      </w:r>
      <w:r>
        <w:rPr>
          <w:b/>
          <w:bCs/>
          <w:i/>
          <w:iCs/>
          <w:lang w:val="en-GB"/>
        </w:rPr>
        <w:t>1</w:t>
      </w:r>
      <w:r w:rsidRPr="004613F9">
        <w:rPr>
          <w:b/>
          <w:bCs/>
          <w:i/>
          <w:iCs/>
          <w:lang w:val="en-GB"/>
        </w:rPr>
        <w:t xml:space="preserve">: </w:t>
      </w:r>
      <w:r>
        <w:rPr>
          <w:b/>
          <w:bCs/>
          <w:i/>
          <w:iCs/>
          <w:lang w:val="en-GB"/>
        </w:rPr>
        <w:t xml:space="preserve">RAN4 to define </w:t>
      </w:r>
      <w:r w:rsidRPr="009B4FE8">
        <w:rPr>
          <w:b/>
          <w:bCs/>
          <w:i/>
          <w:iCs/>
          <w:lang w:val="en-GB"/>
        </w:rPr>
        <w:t>measurement requirements for inter-RAT (NTN to E-UTRA</w:t>
      </w:r>
      <w:r>
        <w:rPr>
          <w:b/>
          <w:bCs/>
          <w:i/>
          <w:iCs/>
          <w:lang w:val="en-GB"/>
        </w:rPr>
        <w:t>N</w:t>
      </w:r>
      <w:r w:rsidRPr="009B4FE8">
        <w:rPr>
          <w:b/>
          <w:bCs/>
          <w:i/>
          <w:iCs/>
          <w:lang w:val="en-GB"/>
        </w:rPr>
        <w:t xml:space="preserve"> TN) measurement for (e)</w:t>
      </w:r>
      <w:proofErr w:type="spellStart"/>
      <w:r w:rsidRPr="009B4FE8">
        <w:rPr>
          <w:b/>
          <w:bCs/>
          <w:i/>
          <w:iCs/>
          <w:lang w:val="en-GB"/>
        </w:rPr>
        <w:t>RedCap</w:t>
      </w:r>
      <w:proofErr w:type="spellEnd"/>
      <w:r w:rsidRPr="009B4FE8">
        <w:rPr>
          <w:b/>
          <w:bCs/>
          <w:i/>
          <w:iCs/>
          <w:lang w:val="en-GB"/>
        </w:rPr>
        <w:t xml:space="preserve"> UE</w:t>
      </w:r>
      <w:r>
        <w:rPr>
          <w:b/>
          <w:bCs/>
          <w:i/>
          <w:iCs/>
          <w:lang w:val="en-GB"/>
        </w:rPr>
        <w:t xml:space="preserve">. The existing </w:t>
      </w:r>
      <w:r w:rsidRPr="009B4FE8">
        <w:rPr>
          <w:b/>
          <w:bCs/>
          <w:i/>
          <w:iCs/>
          <w:lang w:val="en-GB"/>
        </w:rPr>
        <w:t xml:space="preserve">requirements for </w:t>
      </w:r>
      <w:r>
        <w:rPr>
          <w:b/>
          <w:bCs/>
          <w:i/>
          <w:iCs/>
        </w:rPr>
        <w:t>m</w:t>
      </w:r>
      <w:r w:rsidRPr="009B4FE8">
        <w:rPr>
          <w:b/>
          <w:bCs/>
          <w:i/>
          <w:iCs/>
        </w:rPr>
        <w:t>easurements of inter-RAT E-UTRAN cells</w:t>
      </w:r>
      <w:r w:rsidRPr="009B4FE8">
        <w:rPr>
          <w:rFonts w:hint="eastAsia"/>
          <w:b/>
          <w:bCs/>
          <w:i/>
          <w:iCs/>
        </w:rPr>
        <w:t xml:space="preserve"> with TN carrier</w:t>
      </w:r>
      <w:r>
        <w:rPr>
          <w:b/>
          <w:bCs/>
          <w:i/>
          <w:iCs/>
        </w:rPr>
        <w:t xml:space="preserve"> can be used as baseline.</w:t>
      </w:r>
    </w:p>
    <w:p w14:paraId="1536D9E4" w14:textId="77777777" w:rsidR="009B6FCF" w:rsidRDefault="009B6FCF" w:rsidP="009B6FCF">
      <w:pPr>
        <w:jc w:val="both"/>
        <w:rPr>
          <w:b/>
          <w:bCs/>
          <w:i/>
          <w:iCs/>
          <w:lang w:val="en-GB"/>
        </w:rPr>
      </w:pPr>
      <w:r>
        <w:rPr>
          <w:b/>
          <w:bCs/>
          <w:i/>
          <w:iCs/>
          <w:lang w:val="en-GB"/>
        </w:rPr>
        <w:t xml:space="preserve">Proposal 2: </w:t>
      </w:r>
      <w:r w:rsidRPr="00C07E73">
        <w:rPr>
          <w:b/>
          <w:bCs/>
          <w:i/>
          <w:iCs/>
          <w:lang w:val="en-GB"/>
        </w:rPr>
        <w:t xml:space="preserve">for quasi-earth fixed LEO scenario, to define and apply </w:t>
      </w:r>
      <w:proofErr w:type="spellStart"/>
      <w:r w:rsidRPr="00C07E73">
        <w:rPr>
          <w:b/>
          <w:bCs/>
          <w:i/>
          <w:iCs/>
          <w:lang w:val="en-GB"/>
        </w:rPr>
        <w:t>eDRX</w:t>
      </w:r>
      <w:proofErr w:type="spellEnd"/>
      <w:r w:rsidRPr="00C07E73">
        <w:rPr>
          <w:b/>
          <w:bCs/>
          <w:i/>
          <w:iCs/>
          <w:lang w:val="en-GB"/>
        </w:rPr>
        <w:t xml:space="preserve"> related requirements in </w:t>
      </w:r>
      <w:proofErr w:type="spellStart"/>
      <w:r w:rsidRPr="00C07E73">
        <w:rPr>
          <w:b/>
          <w:bCs/>
          <w:i/>
          <w:iCs/>
          <w:lang w:val="en-GB"/>
        </w:rPr>
        <w:t>RRC_Idle</w:t>
      </w:r>
      <w:proofErr w:type="spellEnd"/>
      <w:r w:rsidRPr="00C07E73">
        <w:rPr>
          <w:b/>
          <w:bCs/>
          <w:i/>
          <w:iCs/>
          <w:lang w:val="en-GB"/>
        </w:rPr>
        <w:t xml:space="preserve"> / </w:t>
      </w:r>
      <w:proofErr w:type="spellStart"/>
      <w:r w:rsidRPr="00C07E73">
        <w:rPr>
          <w:b/>
          <w:bCs/>
          <w:i/>
          <w:iCs/>
          <w:lang w:val="en-GB"/>
        </w:rPr>
        <w:t>RRC_Inactive</w:t>
      </w:r>
      <w:proofErr w:type="spellEnd"/>
      <w:r w:rsidRPr="00C07E73">
        <w:rPr>
          <w:b/>
          <w:bCs/>
          <w:i/>
          <w:iCs/>
          <w:lang w:val="en-GB"/>
        </w:rPr>
        <w:t xml:space="preserve"> mode for (e)</w:t>
      </w:r>
      <w:proofErr w:type="spellStart"/>
      <w:r w:rsidRPr="00C07E73">
        <w:rPr>
          <w:b/>
          <w:bCs/>
          <w:i/>
          <w:iCs/>
          <w:lang w:val="en-GB"/>
        </w:rPr>
        <w:t>RedCap</w:t>
      </w:r>
      <w:proofErr w:type="spellEnd"/>
      <w:r w:rsidRPr="00C07E73">
        <w:rPr>
          <w:b/>
          <w:bCs/>
          <w:i/>
          <w:iCs/>
          <w:lang w:val="en-GB"/>
        </w:rPr>
        <w:t xml:space="preserve"> UE with FR1-NTN for all </w:t>
      </w:r>
      <w:proofErr w:type="spellStart"/>
      <w:r w:rsidRPr="00C07E73">
        <w:rPr>
          <w:b/>
          <w:bCs/>
          <w:i/>
          <w:iCs/>
          <w:lang w:val="en-GB"/>
        </w:rPr>
        <w:t>eDRX</w:t>
      </w:r>
      <w:proofErr w:type="spellEnd"/>
      <w:r w:rsidRPr="00C07E73">
        <w:rPr>
          <w:b/>
          <w:bCs/>
          <w:i/>
          <w:iCs/>
          <w:lang w:val="en-GB"/>
        </w:rPr>
        <w:t xml:space="preserve"> cycles.</w:t>
      </w:r>
    </w:p>
    <w:p w14:paraId="7F01F5DD" w14:textId="77777777" w:rsidR="009B6FCF" w:rsidRDefault="009B6FCF" w:rsidP="009B6FCF">
      <w:pPr>
        <w:jc w:val="both"/>
        <w:rPr>
          <w:b/>
          <w:bCs/>
          <w:i/>
          <w:iCs/>
        </w:rPr>
      </w:pPr>
      <w:r w:rsidRPr="00883206">
        <w:rPr>
          <w:b/>
          <w:bCs/>
          <w:i/>
          <w:iCs/>
        </w:rPr>
        <w:t xml:space="preserve">Proposal 3: not consider </w:t>
      </w:r>
      <w:r w:rsidRPr="00883206">
        <w:rPr>
          <w:rFonts w:hint="eastAsia"/>
          <w:b/>
          <w:bCs/>
          <w:i/>
          <w:iCs/>
        </w:rPr>
        <w:t>parallel measurements on multiple NGSO satellites within a SMTC (Feature 25-5) for (e)</w:t>
      </w:r>
      <w:proofErr w:type="spellStart"/>
      <w:r w:rsidRPr="00883206">
        <w:rPr>
          <w:rFonts w:hint="eastAsia"/>
          <w:b/>
          <w:bCs/>
          <w:i/>
          <w:iCs/>
        </w:rPr>
        <w:t>RedCap</w:t>
      </w:r>
      <w:proofErr w:type="spellEnd"/>
      <w:r w:rsidRPr="00883206">
        <w:rPr>
          <w:rFonts w:hint="eastAsia"/>
          <w:b/>
          <w:bCs/>
          <w:i/>
          <w:iCs/>
        </w:rPr>
        <w:t xml:space="preserve"> UEs</w:t>
      </w:r>
      <w:r w:rsidRPr="00883206">
        <w:rPr>
          <w:b/>
          <w:bCs/>
          <w:i/>
          <w:iCs/>
        </w:rPr>
        <w:t>.</w:t>
      </w:r>
    </w:p>
    <w:p w14:paraId="2BA9C4CC" w14:textId="77777777" w:rsidR="009B6FCF" w:rsidRDefault="009B6FCF" w:rsidP="009B6FCF">
      <w:pPr>
        <w:jc w:val="both"/>
        <w:rPr>
          <w:b/>
          <w:bCs/>
          <w:i/>
          <w:iCs/>
        </w:rPr>
      </w:pPr>
      <w:r w:rsidRPr="000237A5">
        <w:rPr>
          <w:b/>
          <w:bCs/>
          <w:i/>
          <w:iCs/>
        </w:rPr>
        <w:t xml:space="preserve">Proposal 4: to consider </w:t>
      </w:r>
      <w:r>
        <w:rPr>
          <w:b/>
          <w:bCs/>
          <w:i/>
          <w:iCs/>
        </w:rPr>
        <w:t xml:space="preserve">relaxation </w:t>
      </w:r>
      <w:r w:rsidRPr="000237A5">
        <w:rPr>
          <w:b/>
          <w:bCs/>
          <w:i/>
          <w:iCs/>
        </w:rPr>
        <w:t xml:space="preserve">for proximity </w:t>
      </w:r>
      <w:r>
        <w:rPr>
          <w:b/>
          <w:bCs/>
          <w:i/>
          <w:iCs/>
        </w:rPr>
        <w:t>w</w:t>
      </w:r>
      <w:r w:rsidRPr="000237A5">
        <w:rPr>
          <w:b/>
          <w:bCs/>
          <w:i/>
          <w:iCs/>
        </w:rPr>
        <w:t>hen (e)</w:t>
      </w:r>
      <w:proofErr w:type="spellStart"/>
      <w:r w:rsidRPr="000237A5">
        <w:rPr>
          <w:b/>
          <w:bCs/>
          <w:i/>
          <w:iCs/>
        </w:rPr>
        <w:t>RedCap</w:t>
      </w:r>
      <w:proofErr w:type="spellEnd"/>
      <w:r w:rsidRPr="000237A5">
        <w:rPr>
          <w:b/>
          <w:bCs/>
          <w:i/>
          <w:iCs/>
        </w:rPr>
        <w:t xml:space="preserve"> UE is configured with more than one SMTC on a SAN carrier</w:t>
      </w:r>
      <w:r>
        <w:rPr>
          <w:b/>
          <w:bCs/>
          <w:i/>
          <w:iCs/>
        </w:rPr>
        <w:t>, i.e.,</w:t>
      </w:r>
    </w:p>
    <w:p w14:paraId="2AEF8C78" w14:textId="77777777" w:rsidR="009B6FCF" w:rsidRPr="000237A5" w:rsidRDefault="009B6FCF" w:rsidP="009B6FCF">
      <w:pPr>
        <w:numPr>
          <w:ilvl w:val="2"/>
          <w:numId w:val="93"/>
        </w:numPr>
        <w:jc w:val="both"/>
        <w:rPr>
          <w:b/>
          <w:bCs/>
          <w:i/>
          <w:iCs/>
        </w:rPr>
      </w:pPr>
      <w:r w:rsidRPr="000237A5">
        <w:rPr>
          <w:b/>
          <w:bCs/>
          <w:i/>
          <w:iCs/>
        </w:rPr>
        <w:t xml:space="preserve">When </w:t>
      </w:r>
      <w:r w:rsidRPr="009B6FCF">
        <w:rPr>
          <w:b/>
          <w:bCs/>
          <w:i/>
          <w:iCs/>
        </w:rPr>
        <w:t>(e)</w:t>
      </w:r>
      <w:proofErr w:type="spellStart"/>
      <w:r w:rsidRPr="000237A5">
        <w:rPr>
          <w:b/>
          <w:bCs/>
          <w:i/>
          <w:iCs/>
        </w:rPr>
        <w:t>RedCap</w:t>
      </w:r>
      <w:proofErr w:type="spellEnd"/>
      <w:r w:rsidRPr="000237A5">
        <w:rPr>
          <w:b/>
          <w:bCs/>
          <w:i/>
          <w:iCs/>
        </w:rPr>
        <w:t xml:space="preserve"> UE is configured with more than one SMTC on a SAN carrier, two SMTC occasions outside measurement gap are considered colliding if at least one of the following conditions is met:</w:t>
      </w:r>
    </w:p>
    <w:p w14:paraId="42ECA093" w14:textId="77777777" w:rsidR="009B6FCF" w:rsidRPr="000237A5" w:rsidRDefault="009B6FCF" w:rsidP="009B6FCF">
      <w:pPr>
        <w:numPr>
          <w:ilvl w:val="3"/>
          <w:numId w:val="94"/>
        </w:numPr>
        <w:jc w:val="both"/>
        <w:rPr>
          <w:b/>
          <w:bCs/>
          <w:i/>
          <w:iCs/>
        </w:rPr>
      </w:pPr>
      <w:r w:rsidRPr="000237A5">
        <w:rPr>
          <w:b/>
          <w:bCs/>
          <w:i/>
          <w:iCs/>
        </w:rPr>
        <w:lastRenderedPageBreak/>
        <w:t>the two SMTC occasions are fully or partially overlapping in time domain, or</w:t>
      </w:r>
    </w:p>
    <w:p w14:paraId="0AD8FE19" w14:textId="77777777" w:rsidR="009B6FCF" w:rsidRPr="000237A5" w:rsidRDefault="009B6FCF" w:rsidP="009B6FCF">
      <w:pPr>
        <w:numPr>
          <w:ilvl w:val="3"/>
          <w:numId w:val="94"/>
        </w:numPr>
        <w:jc w:val="both"/>
        <w:rPr>
          <w:b/>
          <w:bCs/>
          <w:i/>
          <w:iCs/>
        </w:rPr>
      </w:pPr>
      <w:r w:rsidRPr="000237A5">
        <w:rPr>
          <w:b/>
          <w:bCs/>
          <w:i/>
          <w:iCs/>
        </w:rPr>
        <w:t xml:space="preserve">the magnitude of the distance between two SMTC occasions in time domain is less than or equals to (4+x) </w:t>
      </w:r>
      <w:proofErr w:type="spellStart"/>
      <w:r w:rsidRPr="000237A5">
        <w:rPr>
          <w:b/>
          <w:bCs/>
          <w:i/>
          <w:iCs/>
        </w:rPr>
        <w:t>ms.</w:t>
      </w:r>
      <w:proofErr w:type="spellEnd"/>
      <w:r w:rsidRPr="000237A5">
        <w:rPr>
          <w:b/>
          <w:bCs/>
          <w:i/>
          <w:iCs/>
        </w:rPr>
        <w:t xml:space="preserve"> </w:t>
      </w:r>
      <w:r w:rsidRPr="009B6FCF">
        <w:rPr>
          <w:b/>
          <w:bCs/>
          <w:i/>
          <w:iCs/>
        </w:rPr>
        <w:t>(x is the relaxation for (</w:t>
      </w:r>
      <w:proofErr w:type="spellStart"/>
      <w:r w:rsidRPr="009B6FCF">
        <w:rPr>
          <w:b/>
          <w:bCs/>
          <w:i/>
          <w:iCs/>
        </w:rPr>
        <w:t>eRedCap</w:t>
      </w:r>
      <w:proofErr w:type="spellEnd"/>
      <w:r w:rsidRPr="009B6FCF">
        <w:rPr>
          <w:b/>
          <w:bCs/>
          <w:i/>
          <w:iCs/>
        </w:rPr>
        <w:t xml:space="preserve"> UE)), x can be FFS. </w:t>
      </w:r>
      <w:r>
        <w:rPr>
          <w:b/>
          <w:bCs/>
          <w:i/>
          <w:iCs/>
        </w:rPr>
        <w:t>(</w:t>
      </w:r>
      <w:r w:rsidRPr="009B6FCF">
        <w:rPr>
          <w:b/>
          <w:bCs/>
          <w:i/>
          <w:iCs/>
        </w:rPr>
        <w:t>We propose 1ms as starting point</w:t>
      </w:r>
      <w:r>
        <w:rPr>
          <w:b/>
          <w:bCs/>
          <w:i/>
          <w:iCs/>
        </w:rPr>
        <w:t>)</w:t>
      </w:r>
    </w:p>
    <w:p w14:paraId="1997995D" w14:textId="4E2D791C" w:rsidR="009B6FCF" w:rsidRPr="009B6FCF" w:rsidRDefault="009B6FCF" w:rsidP="009B6FCF">
      <w:pPr>
        <w:numPr>
          <w:ilvl w:val="2"/>
          <w:numId w:val="93"/>
        </w:numPr>
        <w:jc w:val="both"/>
        <w:rPr>
          <w:b/>
          <w:bCs/>
          <w:i/>
          <w:iCs/>
        </w:rPr>
      </w:pPr>
      <w:r w:rsidRPr="000237A5">
        <w:rPr>
          <w:b/>
          <w:bCs/>
          <w:i/>
          <w:iCs/>
        </w:rPr>
        <w:t>The distance between two SMTC occasions is defined as the time difference between the ending point of the earlier SMTC occasion and the starting point of the later SMTC occasion.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1E0F5DAA" w:rsidR="006D098E" w:rsidRDefault="00DB5D18" w:rsidP="0051713E">
      <w:r>
        <w:t xml:space="preserve">[1] </w:t>
      </w:r>
      <w:r w:rsidR="009862F3" w:rsidRPr="009862F3">
        <w:rPr>
          <w:rFonts w:cs="Arial"/>
        </w:rPr>
        <w:t>R4-2420104</w:t>
      </w:r>
      <w:r w:rsidR="00E13C55">
        <w:rPr>
          <w:rFonts w:cs="Arial"/>
        </w:rPr>
        <w:t xml:space="preserve">, </w:t>
      </w:r>
      <w:r w:rsidR="00E13C55" w:rsidRPr="00E13C55">
        <w:rPr>
          <w:rFonts w:cs="Arial"/>
        </w:rPr>
        <w:t>WF on RRM requirements for NR_NTN_Ph3_Part1</w:t>
      </w:r>
      <w:r w:rsidR="00CB4CB5" w:rsidRPr="00CB4CB5">
        <w:t>, CATT</w:t>
      </w:r>
      <w:r w:rsidRPr="003302A0">
        <w:t>, RAN</w:t>
      </w:r>
      <w:r w:rsidR="00CD3CF7">
        <w:t>4</w:t>
      </w:r>
      <w:r w:rsidR="00FB4882">
        <w:t>#1</w:t>
      </w:r>
      <w:r w:rsidR="00CD3CF7">
        <w:t>1</w:t>
      </w:r>
      <w:r w:rsidR="009862F3">
        <w:rPr>
          <w:rFonts w:hint="eastAsia"/>
        </w:rPr>
        <w:t>3</w:t>
      </w:r>
    </w:p>
    <w:p w14:paraId="44E6AB8A" w14:textId="11A5F89E" w:rsidR="00CD3CF7" w:rsidRDefault="00CD3CF7" w:rsidP="00CD3CF7">
      <w:r>
        <w:t xml:space="preserve">[2] </w:t>
      </w:r>
      <w:r w:rsidR="009862F3" w:rsidRPr="009862F3">
        <w:rPr>
          <w:rFonts w:cs="Arial"/>
        </w:rPr>
        <w:t>R4-2418288</w:t>
      </w:r>
      <w:r w:rsidR="009862F3">
        <w:rPr>
          <w:rFonts w:cs="Arial"/>
        </w:rPr>
        <w:t xml:space="preserve">, </w:t>
      </w:r>
      <w:r w:rsidR="009862F3" w:rsidRPr="009862F3">
        <w:rPr>
          <w:rFonts w:cs="Arial"/>
        </w:rPr>
        <w:t>Topic summary for [113][230] NR_NTN_Ph3_Part1</w:t>
      </w:r>
      <w:r w:rsidRPr="00CB4CB5">
        <w:t>, CATT</w:t>
      </w:r>
      <w:r w:rsidRPr="003302A0">
        <w:t>, RAN</w:t>
      </w:r>
      <w:r>
        <w:t>4#11</w:t>
      </w:r>
      <w:r w:rsidR="009862F3">
        <w:t>3</w:t>
      </w:r>
    </w:p>
    <w:p w14:paraId="3B9813FF" w14:textId="4F2369B6" w:rsidR="00A23D5B" w:rsidRDefault="009862F3" w:rsidP="0051713E">
      <w:r>
        <w:t xml:space="preserve"> </w:t>
      </w:r>
    </w:p>
    <w:sectPr w:rsidR="00A23D5B" w:rsidSect="00F209DF">
      <w:headerReference w:type="even" r:id="rId10"/>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57582" w14:textId="77777777" w:rsidR="00AD7204" w:rsidRDefault="00AD7204">
      <w:r>
        <w:separator/>
      </w:r>
    </w:p>
  </w:endnote>
  <w:endnote w:type="continuationSeparator" w:id="0">
    <w:p w14:paraId="66AB294C" w14:textId="77777777" w:rsidR="00AD7204" w:rsidRDefault="00AD7204">
      <w:r>
        <w:continuationSeparator/>
      </w:r>
    </w:p>
  </w:endnote>
  <w:endnote w:type="continuationNotice" w:id="1">
    <w:p w14:paraId="1D8E1CD9" w14:textId="77777777" w:rsidR="00AD7204" w:rsidRDefault="00AD7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A28B2" w14:textId="77777777" w:rsidR="00AD7204" w:rsidRDefault="00AD7204">
      <w:r>
        <w:separator/>
      </w:r>
    </w:p>
  </w:footnote>
  <w:footnote w:type="continuationSeparator" w:id="0">
    <w:p w14:paraId="1305F2F8" w14:textId="77777777" w:rsidR="00AD7204" w:rsidRDefault="00AD7204">
      <w:r>
        <w:continuationSeparator/>
      </w:r>
    </w:p>
  </w:footnote>
  <w:footnote w:type="continuationNotice" w:id="1">
    <w:p w14:paraId="449C7B20" w14:textId="77777777" w:rsidR="00AD7204" w:rsidRDefault="00AD7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90532F"/>
    <w:multiLevelType w:val="hybridMultilevel"/>
    <w:tmpl w:val="1B7E39AA"/>
    <w:lvl w:ilvl="0" w:tplc="FFFFFFFF">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6"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9"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7"/>
  </w:num>
  <w:num w:numId="5" w16cid:durableId="19949176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3"/>
  </w:num>
  <w:num w:numId="8" w16cid:durableId="66853061">
    <w:abstractNumId w:val="9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78"/>
  </w:num>
  <w:num w:numId="12" w16cid:durableId="1683971953">
    <w:abstractNumId w:val="57"/>
  </w:num>
  <w:num w:numId="13" w16cid:durableId="1802336773">
    <w:abstractNumId w:val="79"/>
  </w:num>
  <w:num w:numId="14" w16cid:durableId="183179212">
    <w:abstractNumId w:val="15"/>
  </w:num>
  <w:num w:numId="15" w16cid:durableId="101072845">
    <w:abstractNumId w:val="5"/>
  </w:num>
  <w:num w:numId="16" w16cid:durableId="1671985423">
    <w:abstractNumId w:val="88"/>
  </w:num>
  <w:num w:numId="17" w16cid:durableId="527718403">
    <w:abstractNumId w:val="14"/>
  </w:num>
  <w:num w:numId="18" w16cid:durableId="336426665">
    <w:abstractNumId w:val="68"/>
  </w:num>
  <w:num w:numId="19" w16cid:durableId="314071016">
    <w:abstractNumId w:val="9"/>
  </w:num>
  <w:num w:numId="20" w16cid:durableId="254241833">
    <w:abstractNumId w:val="21"/>
  </w:num>
  <w:num w:numId="21" w16cid:durableId="2056931042">
    <w:abstractNumId w:val="56"/>
  </w:num>
  <w:num w:numId="22" w16cid:durableId="277881800">
    <w:abstractNumId w:val="61"/>
  </w:num>
  <w:num w:numId="23" w16cid:durableId="2121104171">
    <w:abstractNumId w:val="39"/>
  </w:num>
  <w:num w:numId="24" w16cid:durableId="1956054883">
    <w:abstractNumId w:val="26"/>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5"/>
  </w:num>
  <w:num w:numId="30" w16cid:durableId="195780968">
    <w:abstractNumId w:val="69"/>
  </w:num>
  <w:num w:numId="31" w16cid:durableId="43145658">
    <w:abstractNumId w:val="58"/>
  </w:num>
  <w:num w:numId="32" w16cid:durableId="840119956">
    <w:abstractNumId w:val="85"/>
  </w:num>
  <w:num w:numId="33" w16cid:durableId="788086887">
    <w:abstractNumId w:val="76"/>
  </w:num>
  <w:num w:numId="34" w16cid:durableId="1075589885">
    <w:abstractNumId w:val="38"/>
  </w:num>
  <w:num w:numId="35" w16cid:durableId="1071587299">
    <w:abstractNumId w:val="80"/>
  </w:num>
  <w:num w:numId="36" w16cid:durableId="1091851232">
    <w:abstractNumId w:val="72"/>
  </w:num>
  <w:num w:numId="37" w16cid:durableId="973365770">
    <w:abstractNumId w:val="67"/>
  </w:num>
  <w:num w:numId="38" w16cid:durableId="1834683719">
    <w:abstractNumId w:val="8"/>
  </w:num>
  <w:num w:numId="39" w16cid:durableId="1536116022">
    <w:abstractNumId w:val="74"/>
  </w:num>
  <w:num w:numId="40" w16cid:durableId="1520314102">
    <w:abstractNumId w:val="77"/>
  </w:num>
  <w:num w:numId="41" w16cid:durableId="247882645">
    <w:abstractNumId w:val="6"/>
  </w:num>
  <w:num w:numId="42" w16cid:durableId="1465733113">
    <w:abstractNumId w:val="37"/>
  </w:num>
  <w:num w:numId="43" w16cid:durableId="1899396757">
    <w:abstractNumId w:val="7"/>
  </w:num>
  <w:num w:numId="44" w16cid:durableId="1532566973">
    <w:abstractNumId w:val="2"/>
  </w:num>
  <w:num w:numId="45" w16cid:durableId="1368028164">
    <w:abstractNumId w:val="17"/>
  </w:num>
  <w:num w:numId="46" w16cid:durableId="1589078694">
    <w:abstractNumId w:val="33"/>
  </w:num>
  <w:num w:numId="47" w16cid:durableId="925915457">
    <w:abstractNumId w:val="11"/>
  </w:num>
  <w:num w:numId="48" w16cid:durableId="12804858">
    <w:abstractNumId w:val="25"/>
  </w:num>
  <w:num w:numId="49" w16cid:durableId="1651904155">
    <w:abstractNumId w:val="65"/>
  </w:num>
  <w:num w:numId="50" w16cid:durableId="1799837277">
    <w:abstractNumId w:val="71"/>
  </w:num>
  <w:num w:numId="51" w16cid:durableId="1335303262">
    <w:abstractNumId w:val="52"/>
  </w:num>
  <w:num w:numId="52" w16cid:durableId="2017027243">
    <w:abstractNumId w:val="32"/>
  </w:num>
  <w:num w:numId="53" w16cid:durableId="972100627">
    <w:abstractNumId w:val="54"/>
  </w:num>
  <w:num w:numId="54" w16cid:durableId="581522437">
    <w:abstractNumId w:val="86"/>
  </w:num>
  <w:num w:numId="55" w16cid:durableId="561520335">
    <w:abstractNumId w:val="63"/>
  </w:num>
  <w:num w:numId="56" w16cid:durableId="252054725">
    <w:abstractNumId w:val="40"/>
  </w:num>
  <w:num w:numId="57" w16cid:durableId="1293051579">
    <w:abstractNumId w:val="70"/>
  </w:num>
  <w:num w:numId="58" w16cid:durableId="1169441097">
    <w:abstractNumId w:val="66"/>
  </w:num>
  <w:num w:numId="59" w16cid:durableId="313799950">
    <w:abstractNumId w:val="19"/>
  </w:num>
  <w:num w:numId="60" w16cid:durableId="1577743831">
    <w:abstractNumId w:val="22"/>
  </w:num>
  <w:num w:numId="61" w16cid:durableId="809325268">
    <w:abstractNumId w:val="55"/>
  </w:num>
  <w:num w:numId="62" w16cid:durableId="1225213486">
    <w:abstractNumId w:val="20"/>
  </w:num>
  <w:num w:numId="63" w16cid:durableId="697196576">
    <w:abstractNumId w:val="24"/>
  </w:num>
  <w:num w:numId="64" w16cid:durableId="546991584">
    <w:abstractNumId w:val="1"/>
  </w:num>
  <w:num w:numId="65" w16cid:durableId="1117867917">
    <w:abstractNumId w:val="4"/>
  </w:num>
  <w:num w:numId="66" w16cid:durableId="1443307472">
    <w:abstractNumId w:val="28"/>
  </w:num>
  <w:num w:numId="67" w16cid:durableId="152263208">
    <w:abstractNumId w:val="83"/>
  </w:num>
  <w:num w:numId="68" w16cid:durableId="638533785">
    <w:abstractNumId w:val="35"/>
  </w:num>
  <w:num w:numId="69" w16cid:durableId="1886863922">
    <w:abstractNumId w:val="46"/>
  </w:num>
  <w:num w:numId="70" w16cid:durableId="1612977760">
    <w:abstractNumId w:val="41"/>
  </w:num>
  <w:num w:numId="71" w16cid:durableId="1456874366">
    <w:abstractNumId w:val="36"/>
  </w:num>
  <w:num w:numId="72" w16cid:durableId="1577082966">
    <w:abstractNumId w:val="18"/>
  </w:num>
  <w:num w:numId="73" w16cid:durableId="873807557">
    <w:abstractNumId w:val="49"/>
  </w:num>
  <w:num w:numId="74" w16cid:durableId="118957055">
    <w:abstractNumId w:val="73"/>
  </w:num>
  <w:num w:numId="75" w16cid:durableId="2008944983">
    <w:abstractNumId w:val="60"/>
  </w:num>
  <w:num w:numId="76" w16cid:durableId="559049746">
    <w:abstractNumId w:val="59"/>
  </w:num>
  <w:num w:numId="77" w16cid:durableId="1511330375">
    <w:abstractNumId w:val="42"/>
  </w:num>
  <w:num w:numId="78" w16cid:durableId="1610773526">
    <w:abstractNumId w:val="50"/>
  </w:num>
  <w:num w:numId="79" w16cid:durableId="228275363">
    <w:abstractNumId w:val="64"/>
  </w:num>
  <w:num w:numId="80" w16cid:durableId="1257902246">
    <w:abstractNumId w:val="16"/>
  </w:num>
  <w:num w:numId="81" w16cid:durableId="341979843">
    <w:abstractNumId w:val="47"/>
  </w:num>
  <w:num w:numId="82" w16cid:durableId="1714499501">
    <w:abstractNumId w:val="23"/>
  </w:num>
  <w:num w:numId="83" w16cid:durableId="1959069378">
    <w:abstractNumId w:val="48"/>
  </w:num>
  <w:num w:numId="84" w16cid:durableId="1094979134">
    <w:abstractNumId w:val="84"/>
  </w:num>
  <w:num w:numId="85" w16cid:durableId="1395541">
    <w:abstractNumId w:val="29"/>
  </w:num>
  <w:num w:numId="86" w16cid:durableId="340860459">
    <w:abstractNumId w:val="89"/>
  </w:num>
  <w:num w:numId="87" w16cid:durableId="187839416">
    <w:abstractNumId w:val="13"/>
  </w:num>
  <w:num w:numId="88" w16cid:durableId="2068455209">
    <w:abstractNumId w:val="81"/>
  </w:num>
  <w:num w:numId="89" w16cid:durableId="711808226">
    <w:abstractNumId w:val="51"/>
  </w:num>
  <w:num w:numId="90" w16cid:durableId="183598065">
    <w:abstractNumId w:val="27"/>
  </w:num>
  <w:num w:numId="91" w16cid:durableId="19667098">
    <w:abstractNumId w:val="62"/>
  </w:num>
  <w:num w:numId="92" w16cid:durableId="57824824">
    <w:abstractNumId w:val="82"/>
  </w:num>
  <w:num w:numId="93" w16cid:durableId="1262689335">
    <w:abstractNumId w:val="0"/>
  </w:num>
  <w:num w:numId="94" w16cid:durableId="2026592462">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1B5"/>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24B"/>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D7204"/>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CFA"/>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A00"/>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07E73"/>
    <w:rsid w:val="00C10078"/>
    <w:rsid w:val="00C1249F"/>
    <w:rsid w:val="00C124ED"/>
    <w:rsid w:val="00C125C3"/>
    <w:rsid w:val="00C13140"/>
    <w:rsid w:val="00C13336"/>
    <w:rsid w:val="00C1339D"/>
    <w:rsid w:val="00C14A6F"/>
    <w:rsid w:val="00C157BC"/>
    <w:rsid w:val="00C15B76"/>
    <w:rsid w:val="00C15D4C"/>
    <w:rsid w:val="00C1609D"/>
    <w:rsid w:val="00C1686E"/>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3C5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582E"/>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206"/>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1460</Words>
  <Characters>8325</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2025-01-25T22:13:00Z</dcterms:created>
  <dcterms:modified xsi:type="dcterms:W3CDTF">2025-02-07T18:50:00Z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